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55CEC" w14:textId="77777777" w:rsidR="004B3EB4" w:rsidRDefault="004B3EB4" w:rsidP="004B3EB4">
      <w:pPr>
        <w:jc w:val="center"/>
        <w:rPr>
          <w:sz w:val="24"/>
          <w:szCs w:val="22"/>
          <w:rFonts w:ascii="Times New Roman" w:hAnsi="Times New Roman"/>
        </w:rPr>
      </w:pPr>
      <w:bookmarkStart w:id="0" w:name="_Toc360188413"/>
      <w:bookmarkStart w:id="1" w:name="_Toc473561053"/>
      <w:bookmarkStart w:id="2" w:name="_Toc117766050"/>
      <w:r>
        <w:rPr>
          <w:sz w:val="24"/>
          <w:rFonts w:ascii="Times New Roman" w:hAnsi="Times New Roman"/>
        </w:rPr>
        <w:t xml:space="preserve">SV</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sz w:val="24"/>
          <w:rFonts w:ascii="Times New Roman" w:hAnsi="Times New Roman"/>
        </w:rPr>
      </w:pPr>
      <w:r>
        <w:rPr>
          <w:sz w:val="24"/>
          <w:rFonts w:ascii="Times New Roman" w:hAnsi="Times New Roman"/>
        </w:rPr>
        <w:t xml:space="preserve">BILAGA II</w:t>
      </w:r>
    </w:p>
    <w:p w14:paraId="025DAC25" w14:textId="77777777" w:rsidR="009A273F" w:rsidRPr="00037E7B" w:rsidRDefault="009A273F" w:rsidP="009A273F">
      <w:pPr>
        <w:jc w:val="center"/>
        <w:rPr>
          <w:sz w:val="24"/>
          <w:rFonts w:ascii="Times New Roman" w:hAnsi="Times New Roman"/>
        </w:rPr>
      </w:pPr>
      <w:r>
        <w:rPr>
          <w:sz w:val="24"/>
          <w:rFonts w:ascii="Times New Roman" w:hAnsi="Times New Roman"/>
        </w:rPr>
        <w:t xml:space="preserve">”BILAGA II</w:t>
      </w:r>
    </w:p>
    <w:p w14:paraId="5EA1A82F" w14:textId="77777777" w:rsidR="009A273F" w:rsidRPr="00037E7B" w:rsidRDefault="009A273F" w:rsidP="009A273F">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7ABDFB60" w14:textId="77777777" w:rsidR="009A273F" w:rsidRDefault="009A273F" w:rsidP="009A273F"/>
    <w:p w14:paraId="65617CB9" w14:textId="77777777" w:rsidR="009A273F" w:rsidRDefault="009A273F" w:rsidP="009A273F">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67FA9FF1" w14:textId="77777777" w:rsidR="009A273F" w:rsidRDefault="009A273F" w:rsidP="009A273F">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9367E83" w14:textId="77777777" w:rsidR="009A273F" w:rsidRDefault="009A273F" w:rsidP="009A273F">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sz w:val="24"/>
          <w:rFonts w:ascii="Times New Roman" w:hAnsi="Times New Roman"/>
        </w:rPr>
      </w:pPr>
      <w:r>
        <w:rPr>
          <w:sz w:val="24"/>
          <w:rFonts w:ascii="Times New Roman" w:hAnsi="Times New Roman"/>
        </w:rPr>
        <w:t xml:space="preserve">5.8.</w:t>
      </w:r>
      <w:r>
        <w:rPr>
          <w:sz w:val="24"/>
          <w:rFonts w:ascii="Times New Roman" w:hAnsi="Times New Roman"/>
        </w:rPr>
        <w:tab/>
      </w:r>
      <w:r>
        <w:rPr>
          <w:sz w:val="24"/>
          <w:rFonts w:ascii="Times New Roman" w:hAnsi="Times New Roman"/>
        </w:rPr>
        <w:t xml:space="preserve">C 25.01 – KREDITVÄRDIGHETSJUSTERINGSRISK</w:t>
      </w:r>
      <w:bookmarkEnd w:id="0"/>
      <w:r>
        <w:rPr>
          <w:sz w:val="24"/>
          <w:rFonts w:ascii="Times New Roman" w:hAnsi="Times New Roman"/>
        </w:rPr>
        <w:t xml:space="preserve"> (CVA)</w:t>
      </w:r>
      <w:bookmarkEnd w:id="1"/>
      <w:bookmarkEnd w:id="2"/>
    </w:p>
    <w:p w14:paraId="33239E01" w14:textId="77777777" w:rsidR="00606FB5" w:rsidRDefault="00606FB5" w:rsidP="00606FB5">
      <w:pPr>
        <w:pStyle w:val="Instructionsberschrift2"/>
        <w:numPr>
          <w:ilvl w:val="0"/>
          <w:numId w:val="0"/>
        </w:numPr>
        <w:ind w:left="357" w:hanging="357"/>
        <w:rPr>
          <w:sz w:val="24"/>
          <w:rFonts w:ascii="Times New Roman" w:hAnsi="Times New Roman" w:cs="Times New Roman"/>
        </w:rPr>
      </w:pPr>
      <w:bookmarkStart w:id="3" w:name="_Toc360188414"/>
      <w:bookmarkStart w:id="4" w:name="_Toc473561054"/>
      <w:bookmarkStart w:id="5" w:name="_Toc117766051"/>
      <w:bookmarkStart w:id="6" w:name="_Toc310008820"/>
      <w:r>
        <w:rPr>
          <w:sz w:val="24"/>
          <w:u w:val="none"/>
          <w:rFonts w:ascii="Times New Roman" w:hAnsi="Times New Roman"/>
        </w:rPr>
        <w:t xml:space="preserve">5.8.1.</w:t>
      </w:r>
      <w:r>
        <w:rPr>
          <w:sz w:val="24"/>
          <w:u w:val="none"/>
          <w:rFonts w:ascii="Times New Roman" w:hAnsi="Times New Roman"/>
        </w:rPr>
        <w:tab/>
      </w:r>
      <w:r>
        <w:rPr>
          <w:sz w:val="24"/>
          <w:rFonts w:ascii="Times New Roman" w:hAnsi="Times New Roman"/>
        </w:rPr>
        <w:t xml:space="preserve">Instruktioner för specifika positioner</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b/>
                <w:sz w:val="24"/>
                <w:rFonts w:ascii="Times New Roman" w:hAnsi="Times New Roman"/>
              </w:rPr>
            </w:pPr>
            <w:r>
              <w:rPr>
                <w:b/>
                <w:sz w:val="24"/>
                <w:rFonts w:ascii="Times New Roman" w:hAnsi="Times New Roman"/>
              </w:rPr>
              <w:t xml:space="preserve">Kolumn</w:t>
            </w:r>
          </w:p>
        </w:tc>
      </w:tr>
      <w:tr w:rsidR="00680687" w:rsidRPr="002A677E" w14:paraId="22C86396" w14:textId="77777777" w:rsidTr="006A3ADC">
        <w:tc>
          <w:tcPr>
            <w:tcW w:w="1172" w:type="dxa"/>
          </w:tcPr>
          <w:p w14:paraId="013E2964" w14:textId="77777777" w:rsidR="00680687" w:rsidRPr="002A677E" w:rsidRDefault="00680687" w:rsidP="006A3ADC">
            <w:pPr>
              <w:rPr>
                <w:sz w:val="24"/>
                <w:rFonts w:ascii="Times New Roman" w:hAnsi="Times New Roman"/>
              </w:rPr>
            </w:pPr>
            <w:r>
              <w:rPr>
                <w:sz w:val="24"/>
                <w:rFonts w:ascii="Times New Roman" w:hAnsi="Times New Roman"/>
              </w:rPr>
              <w:t xml:space="preserve">0010</w:t>
            </w:r>
          </w:p>
        </w:tc>
        <w:tc>
          <w:tcPr>
            <w:tcW w:w="7844" w:type="dxa"/>
          </w:tcPr>
          <w:p w14:paraId="48C69E8C"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CCR-exponeringsvärde</w:t>
            </w:r>
          </w:p>
          <w:p w14:paraId="06BD2F33" w14:textId="77777777" w:rsidR="00680687" w:rsidRPr="002A677E" w:rsidRDefault="00680687" w:rsidP="006A3ADC">
            <w:pPr>
              <w:rPr>
                <w:sz w:val="24"/>
                <w:rFonts w:ascii="Times New Roman" w:hAnsi="Times New Roman"/>
              </w:rPr>
            </w:pPr>
            <w:r>
              <w:rPr>
                <w:sz w:val="24"/>
                <w:rFonts w:ascii="Times New Roman" w:hAnsi="Times New Roman"/>
              </w:rPr>
              <w:t xml:space="preserve">Exponeringsvärdet för motpartsrisk (CCR) beräknat i enlighet med de metoder som fastställs i del tre avdelning II kapitel 4 och 6 i förordning (EU) nr 575/2013.</w:t>
            </w:r>
          </w:p>
        </w:tc>
      </w:tr>
      <w:tr w:rsidR="00680687" w:rsidRPr="002A677E" w14:paraId="117387BA" w14:textId="77777777" w:rsidTr="006A3ADC">
        <w:tc>
          <w:tcPr>
            <w:tcW w:w="1172" w:type="dxa"/>
          </w:tcPr>
          <w:p w14:paraId="7CA143D6" w14:textId="77777777" w:rsidR="00680687" w:rsidRPr="002A677E" w:rsidRDefault="00680687" w:rsidP="006A3ADC">
            <w:pPr>
              <w:rPr>
                <w:sz w:val="24"/>
                <w:rFonts w:ascii="Times New Roman" w:hAnsi="Times New Roman"/>
              </w:rPr>
            </w:pPr>
            <w:r>
              <w:rPr>
                <w:sz w:val="24"/>
                <w:rFonts w:ascii="Times New Roman" w:hAnsi="Times New Roman"/>
              </w:rPr>
              <w:t xml:space="preserve">0020</w:t>
            </w:r>
          </w:p>
        </w:tc>
        <w:tc>
          <w:tcPr>
            <w:tcW w:w="7844" w:type="dxa"/>
          </w:tcPr>
          <w:p w14:paraId="51B45A7C"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Kapitalbaskrav för CCR</w:t>
            </w:r>
          </w:p>
          <w:p w14:paraId="0F0016B3" w14:textId="77777777" w:rsidR="00680687" w:rsidRPr="002A677E" w:rsidRDefault="00680687" w:rsidP="006A3ADC">
            <w:pPr>
              <w:rPr>
                <w:sz w:val="24"/>
                <w:rFonts w:ascii="Times New Roman" w:hAnsi="Times New Roman"/>
              </w:rPr>
            </w:pPr>
            <w:r>
              <w:rPr>
                <w:sz w:val="24"/>
                <w:rFonts w:ascii="Times New Roman" w:hAnsi="Times New Roman"/>
              </w:rPr>
              <w:t xml:space="preserve">Kapitalbaskrav för CCR (artikel 92.4 a och g och del tre avdelning VI i förordning (EU) nr 575/2013).</w:t>
            </w:r>
          </w:p>
        </w:tc>
      </w:tr>
      <w:tr w:rsidR="00680687" w:rsidRPr="002A677E" w14:paraId="5F978FE1" w14:textId="77777777" w:rsidTr="006A3ADC">
        <w:tc>
          <w:tcPr>
            <w:tcW w:w="1172" w:type="dxa"/>
          </w:tcPr>
          <w:p w14:paraId="182AB4FA" w14:textId="77777777" w:rsidR="00680687" w:rsidRPr="002A677E" w:rsidRDefault="00680687" w:rsidP="006A3ADC">
            <w:pPr>
              <w:rPr>
                <w:sz w:val="24"/>
                <w:rFonts w:ascii="Times New Roman" w:hAnsi="Times New Roman"/>
              </w:rPr>
            </w:pPr>
            <w:r>
              <w:rPr>
                <w:sz w:val="24"/>
                <w:rFonts w:ascii="Times New Roman" w:hAnsi="Times New Roman"/>
              </w:rPr>
              <w:t xml:space="preserve">0030</w:t>
            </w:r>
          </w:p>
        </w:tc>
        <w:tc>
          <w:tcPr>
            <w:tcW w:w="7844" w:type="dxa"/>
          </w:tcPr>
          <w:p w14:paraId="396D9C75"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Teoretiskt värde</w:t>
            </w:r>
          </w:p>
          <w:p w14:paraId="3D1812D7" w14:textId="77777777" w:rsidR="00680687" w:rsidRPr="002A677E" w:rsidRDefault="00680687" w:rsidP="006A3ADC">
            <w:pPr>
              <w:rPr>
                <w:sz w:val="24"/>
                <w:rFonts w:ascii="Times New Roman" w:hAnsi="Times New Roman"/>
              </w:rPr>
            </w:pPr>
            <w:r>
              <w:rPr>
                <w:sz w:val="24"/>
                <w:rFonts w:ascii="Times New Roman" w:hAnsi="Times New Roman"/>
              </w:rPr>
              <w:t xml:space="preserve">Summan av de teoretiska beloppen för derivat före all eventuell nettning och utan justeringar i enlighet med artikel 279b i förordning (EU) nr 575/2013.</w:t>
            </w:r>
          </w:p>
        </w:tc>
      </w:tr>
      <w:tr w:rsidR="00680687" w:rsidRPr="002A677E" w14:paraId="26F18ADD" w14:textId="77777777" w:rsidTr="006A3ADC">
        <w:tc>
          <w:tcPr>
            <w:tcW w:w="1172" w:type="dxa"/>
          </w:tcPr>
          <w:p w14:paraId="54779968" w14:textId="77777777" w:rsidR="00680687" w:rsidRPr="002A677E" w:rsidRDefault="00680687" w:rsidP="006A3ADC">
            <w:pPr>
              <w:rPr>
                <w:sz w:val="24"/>
                <w:rFonts w:ascii="Times New Roman" w:hAnsi="Times New Roman"/>
              </w:rPr>
            </w:pPr>
            <w:r>
              <w:rPr>
                <w:sz w:val="24"/>
                <w:rFonts w:ascii="Times New Roman" w:hAnsi="Times New Roman"/>
              </w:rPr>
              <w:t xml:space="preserve">0040</w:t>
            </w:r>
          </w:p>
        </w:tc>
        <w:tc>
          <w:tcPr>
            <w:tcW w:w="7844" w:type="dxa"/>
          </w:tcPr>
          <w:p w14:paraId="0B450F7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Uppkommen kreditvärdighetsjustering</w:t>
            </w:r>
          </w:p>
          <w:p w14:paraId="736FE6AE" w14:textId="77777777" w:rsidR="00680687" w:rsidRPr="002A677E" w:rsidRDefault="00680687" w:rsidP="006A3ADC">
            <w:pPr>
              <w:rPr>
                <w:sz w:val="24"/>
                <w:rFonts w:ascii="Times New Roman" w:hAnsi="Times New Roman"/>
              </w:rPr>
            </w:pPr>
            <w:r>
              <w:rPr>
                <w:sz w:val="24"/>
                <w:rFonts w:ascii="Times New Roman" w:hAnsi="Times New Roman"/>
              </w:rPr>
              <w:t xml:space="preserve">Avsättningar i bokföringen på grund av sänkt kreditvärdighet hos motparter för derivat.</w:t>
            </w:r>
          </w:p>
        </w:tc>
      </w:tr>
      <w:tr w:rsidR="00680687" w:rsidRPr="002A677E" w14:paraId="31462293" w14:textId="77777777" w:rsidTr="006A3ADC">
        <w:tc>
          <w:tcPr>
            <w:tcW w:w="1172" w:type="dxa"/>
          </w:tcPr>
          <w:p w14:paraId="1B68F842" w14:textId="77777777" w:rsidR="00680687" w:rsidRPr="002A677E" w:rsidRDefault="00680687" w:rsidP="006A3ADC">
            <w:pPr>
              <w:rPr>
                <w:sz w:val="24"/>
                <w:rFonts w:ascii="Times New Roman" w:hAnsi="Times New Roman"/>
              </w:rPr>
            </w:pPr>
            <w:r>
              <w:rPr>
                <w:sz w:val="24"/>
                <w:rFonts w:ascii="Times New Roman" w:hAnsi="Times New Roman"/>
              </w:rPr>
              <w:t xml:space="preserve">0050</w:t>
            </w:r>
          </w:p>
        </w:tc>
        <w:tc>
          <w:tcPr>
            <w:tcW w:w="7844" w:type="dxa"/>
          </w:tcPr>
          <w:p w14:paraId="2508C9C1"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Förenklad behandling av derivatpositioner i fond</w:t>
            </w:r>
          </w:p>
          <w:p w14:paraId="5D30B96B" w14:textId="77777777" w:rsidR="00680687" w:rsidRPr="002A677E" w:rsidRDefault="00680687" w:rsidP="006A3ADC">
            <w:pPr>
              <w:rPr>
                <w:sz w:val="24"/>
                <w:rFonts w:ascii="Times New Roman" w:hAnsi="Times New Roman"/>
              </w:rPr>
            </w:pPr>
            <w:r>
              <w:rPr>
                <w:sz w:val="24"/>
                <w:rFonts w:ascii="Times New Roman" w:hAnsi="Times New Roman"/>
              </w:rPr>
              <w:t xml:space="preserve">Kapitalbaskrav för kreditvärdighetsjustering (artikel 92.4 d och del tre avdelning VI i förordning (EU) nr 575/2013), beräknade i enlighet med den förenklade behandlingen av derivatpositioner i fond i enlighet med definitionen i artiklarna 132a.3, 152.3 och 325j.1 i förordning (EU) nr 575/2013.</w:t>
            </w:r>
          </w:p>
        </w:tc>
      </w:tr>
      <w:tr w:rsidR="00680687" w:rsidRPr="002A677E" w14:paraId="30F1E0DD" w14:textId="77777777" w:rsidTr="006A3ADC">
        <w:tc>
          <w:tcPr>
            <w:tcW w:w="1172" w:type="dxa"/>
          </w:tcPr>
          <w:p w14:paraId="6AA94009" w14:textId="77777777" w:rsidR="00680687" w:rsidRPr="002A677E" w:rsidRDefault="00680687" w:rsidP="006A3ADC">
            <w:pPr>
              <w:rPr>
                <w:sz w:val="24"/>
                <w:rFonts w:ascii="Times New Roman" w:hAnsi="Times New Roman"/>
              </w:rPr>
            </w:pPr>
            <w:r>
              <w:rPr>
                <w:sz w:val="24"/>
                <w:rFonts w:ascii="Times New Roman" w:hAnsi="Times New Roman"/>
              </w:rPr>
              <w:t xml:space="preserve">0060</w:t>
            </w:r>
          </w:p>
        </w:tc>
        <w:tc>
          <w:tcPr>
            <w:tcW w:w="7844" w:type="dxa"/>
          </w:tcPr>
          <w:p w14:paraId="7A0A82EA"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Förenklad metod</w:t>
            </w:r>
          </w:p>
          <w:p w14:paraId="004D4F8F" w14:textId="77777777" w:rsidR="00680687" w:rsidRPr="002A677E" w:rsidRDefault="00680687" w:rsidP="006A3ADC">
            <w:pPr>
              <w:rPr>
                <w:sz w:val="24"/>
                <w:rFonts w:ascii="Times New Roman" w:hAnsi="Times New Roman"/>
              </w:rPr>
            </w:pPr>
            <w:r>
              <w:rPr>
                <w:sz w:val="24"/>
                <w:rFonts w:ascii="Times New Roman" w:hAnsi="Times New Roman"/>
              </w:rPr>
              <w:t xml:space="preserve">Kapitalbaskrav för transaktioner som omfattas av den förenklade metod som fastställs i artikel 385 i förordning (EU) nr 575/2013.</w:t>
            </w:r>
          </w:p>
        </w:tc>
      </w:tr>
      <w:tr w:rsidR="00680687" w:rsidRPr="002A677E" w14:paraId="5F75A918" w14:textId="77777777" w:rsidTr="006A3ADC">
        <w:tc>
          <w:tcPr>
            <w:tcW w:w="1172" w:type="dxa"/>
          </w:tcPr>
          <w:p w14:paraId="4A4C55CD" w14:textId="77777777" w:rsidR="00680687" w:rsidRPr="002A677E" w:rsidRDefault="00680687" w:rsidP="006A3ADC">
            <w:pPr>
              <w:rPr>
                <w:sz w:val="24"/>
                <w:rFonts w:ascii="Times New Roman" w:hAnsi="Times New Roman"/>
              </w:rPr>
            </w:pPr>
            <w:r>
              <w:rPr>
                <w:sz w:val="24"/>
                <w:rFonts w:ascii="Times New Roman" w:hAnsi="Times New Roman"/>
              </w:rPr>
              <w:t xml:space="preserve">0070</w:t>
            </w:r>
          </w:p>
        </w:tc>
        <w:tc>
          <w:tcPr>
            <w:tcW w:w="7844" w:type="dxa"/>
          </w:tcPr>
          <w:p w14:paraId="6D8487B1"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Reducerad grundläggande metod för kreditvärdighetsjustering</w:t>
            </w:r>
          </w:p>
          <w:p w14:paraId="10567290" w14:textId="77777777" w:rsidR="00680687" w:rsidRPr="002A677E" w:rsidRDefault="00680687" w:rsidP="006A3ADC">
            <w:pPr>
              <w:rPr>
                <w:sz w:val="24"/>
                <w:rFonts w:ascii="Times New Roman" w:hAnsi="Times New Roman"/>
              </w:rPr>
            </w:pPr>
            <w:r>
              <w:rPr>
                <w:sz w:val="24"/>
                <w:rFonts w:ascii="Times New Roman" w:hAnsi="Times New Roman"/>
              </w:rPr>
              <w:t xml:space="preserve">Kapitalbaskrav för kreditvärdighetsjustering (artikel 92.4 d och del tre avdelning VI i förordning (EU) nr 575/2013), beräknade i enlighet med artikel 384.3 i förordning (EU) nr 575/2013 för ett institut som uppfyller villkoret i artikel 384.1 b i den förordningen.</w:t>
            </w:r>
          </w:p>
        </w:tc>
      </w:tr>
      <w:tr w:rsidR="00680687" w:rsidRPr="002A677E" w14:paraId="775123CE" w14:textId="77777777" w:rsidTr="006A3ADC">
        <w:tc>
          <w:tcPr>
            <w:tcW w:w="1172" w:type="dxa"/>
          </w:tcPr>
          <w:p w14:paraId="3FE4F30F" w14:textId="77777777" w:rsidR="00680687" w:rsidRPr="002A677E" w:rsidRDefault="00680687" w:rsidP="006A3ADC">
            <w:pPr>
              <w:rPr>
                <w:sz w:val="24"/>
                <w:rFonts w:ascii="Times New Roman" w:hAnsi="Times New Roman"/>
              </w:rPr>
            </w:pPr>
            <w:r>
              <w:rPr>
                <w:sz w:val="24"/>
                <w:rFonts w:ascii="Times New Roman" w:hAnsi="Times New Roman"/>
              </w:rPr>
              <w:t xml:space="preserve">0080–0110</w:t>
            </w:r>
          </w:p>
        </w:tc>
        <w:tc>
          <w:tcPr>
            <w:tcW w:w="7844" w:type="dxa"/>
          </w:tcPr>
          <w:p w14:paraId="4D4D4B28"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Fullständig grundläggande metod för kreditvärdighetsjustering</w:t>
            </w:r>
          </w:p>
          <w:p w14:paraId="29492D07" w14:textId="77777777" w:rsidR="00680687" w:rsidRPr="002A677E" w:rsidRDefault="00680687" w:rsidP="006A3ADC">
            <w:pPr>
              <w:rPr>
                <w:b/>
                <w:sz w:val="24"/>
                <w:u w:val="single"/>
                <w:rFonts w:ascii="Times New Roman" w:hAnsi="Times New Roman"/>
              </w:rPr>
            </w:pPr>
            <w:r>
              <w:rPr>
                <w:sz w:val="24"/>
                <w:rFonts w:ascii="Times New Roman" w:hAnsi="Times New Roman"/>
              </w:rPr>
              <w:t xml:space="preserve">Kapitalbaskrav för kreditvärdighetsjustering (artikel 92.4 d och del tre avdelning VI i förordning (EU) nr 575/2013), beräknade i enlighet med artikel 384.2 i förordning (EU) nr 575/2013 för ett institut som uppfyller villkoret i artikel 384.1 a i den förordningen.</w:t>
            </w:r>
          </w:p>
        </w:tc>
      </w:tr>
      <w:tr w:rsidR="00680687" w:rsidRPr="002A677E" w14:paraId="5CC39791" w14:textId="77777777" w:rsidTr="006A3ADC">
        <w:tc>
          <w:tcPr>
            <w:tcW w:w="1172" w:type="dxa"/>
          </w:tcPr>
          <w:p w14:paraId="7ED793DD" w14:textId="77777777" w:rsidR="00680687" w:rsidRPr="002A677E" w:rsidRDefault="00680687" w:rsidP="006A3ADC">
            <w:pPr>
              <w:rPr>
                <w:sz w:val="24"/>
                <w:rFonts w:ascii="Times New Roman" w:hAnsi="Times New Roman"/>
              </w:rPr>
            </w:pPr>
            <w:r>
              <w:rPr>
                <w:sz w:val="24"/>
                <w:rFonts w:ascii="Times New Roman" w:hAnsi="Times New Roman"/>
              </w:rPr>
              <w:t xml:space="preserve">0080</w:t>
            </w:r>
          </w:p>
        </w:tc>
        <w:tc>
          <w:tcPr>
            <w:tcW w:w="7844" w:type="dxa"/>
          </w:tcPr>
          <w:p w14:paraId="2F507335"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Nominellt belopp för säkring av kreditvärdighetsjusteringsrisker</w:t>
            </w:r>
          </w:p>
          <w:p w14:paraId="3C607DB7" w14:textId="77777777" w:rsidR="00680687" w:rsidRPr="002A677E" w:rsidRDefault="00680687" w:rsidP="006A3ADC">
            <w:pPr>
              <w:rPr>
                <w:sz w:val="24"/>
                <w:rFonts w:ascii="Times New Roman" w:hAnsi="Times New Roman"/>
              </w:rPr>
            </w:pPr>
            <w:r>
              <w:rPr>
                <w:sz w:val="24"/>
                <w:rFonts w:ascii="Times New Roman" w:hAnsi="Times New Roman"/>
              </w:rPr>
              <w:t xml:space="preserve">Nominellt belopp för godtagbara säkringar av kreditvärdighetsjusteringsrisker (bruttobelopp) som redovisas i enlighet med artikel 386 i förordning (EU) nr 575/2013.</w:t>
            </w:r>
          </w:p>
        </w:tc>
      </w:tr>
      <w:tr w:rsidR="00680687" w:rsidRPr="002A677E" w14:paraId="25B5BEC0" w14:textId="77777777" w:rsidTr="006A3ADC">
        <w:tc>
          <w:tcPr>
            <w:tcW w:w="1172" w:type="dxa"/>
          </w:tcPr>
          <w:p w14:paraId="569A7775" w14:textId="77777777" w:rsidR="00680687" w:rsidRPr="002A677E" w:rsidRDefault="00680687" w:rsidP="006A3ADC">
            <w:pPr>
              <w:rPr>
                <w:sz w:val="24"/>
                <w:rFonts w:ascii="Times New Roman" w:hAnsi="Times New Roman"/>
              </w:rPr>
            </w:pPr>
            <w:r>
              <w:rPr>
                <w:sz w:val="24"/>
                <w:rFonts w:ascii="Times New Roman" w:hAnsi="Times New Roman"/>
              </w:rPr>
              <w:t xml:space="preserve">0090</w:t>
            </w:r>
          </w:p>
        </w:tc>
        <w:tc>
          <w:tcPr>
            <w:tcW w:w="7844" w:type="dxa"/>
          </w:tcPr>
          <w:p w14:paraId="7EE59EEA" w14:textId="77777777" w:rsidR="00680687" w:rsidRPr="005C217A" w:rsidRDefault="00680687" w:rsidP="006A3ADC">
            <w:pPr>
              <w:rPr>
                <w:sz w:val="24"/>
                <w:rFonts w:ascii="Times New Roman" w:hAnsi="Times New Roman"/>
              </w:rPr>
            </w:pPr>
            <w:r>
              <w:rPr>
                <w:b/>
                <w:sz w:val="24"/>
                <w:u w:val="single"/>
                <w:rFonts w:ascii="Times New Roman" w:hAnsi="Times New Roman"/>
              </w:rPr>
              <w:t xml:space="preserve">BACVA</w:t>
            </w:r>
            <w:r>
              <w:rPr>
                <w:b/>
                <w:sz w:val="24"/>
                <w:vertAlign w:val="superscript"/>
                <w:rFonts w:ascii="Times New Roman" w:hAnsi="Times New Roman"/>
              </w:rPr>
              <w:t xml:space="preserve">csr-unhedged</w:t>
            </w:r>
          </w:p>
          <w:p w14:paraId="4A0E67ED" w14:textId="77777777" w:rsidR="00680687" w:rsidRPr="002A677E" w:rsidRDefault="00680687" w:rsidP="006A3ADC">
            <w:pPr>
              <w:rPr>
                <w:sz w:val="24"/>
                <w:rFonts w:ascii="Times New Roman" w:hAnsi="Times New Roman"/>
              </w:rPr>
            </w:pPr>
            <w:r>
              <w:rPr>
                <w:sz w:val="24"/>
                <w:rFonts w:ascii="Times New Roman" w:hAnsi="Times New Roman"/>
              </w:rPr>
              <w:t xml:space="preserve">BACVAcsr-unhedged för transaktioner som omfattas av den grundläggande metoden och som beräknas i enlighet med artikel 384.3 i förordning (EU) nr 575/2013 för ett institut som uppfyller villkoret i artikel 384.1 b i den förordningen.</w:t>
            </w:r>
          </w:p>
        </w:tc>
      </w:tr>
      <w:tr w:rsidR="00680687" w:rsidRPr="002A677E" w14:paraId="1E238074" w14:textId="77777777" w:rsidTr="006A3ADC">
        <w:tc>
          <w:tcPr>
            <w:tcW w:w="1172" w:type="dxa"/>
          </w:tcPr>
          <w:p w14:paraId="48638273"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0100</w:t>
            </w:r>
          </w:p>
        </w:tc>
        <w:tc>
          <w:tcPr>
            <w:tcW w:w="7844" w:type="dxa"/>
          </w:tcPr>
          <w:p w14:paraId="2C90402F" w14:textId="77777777" w:rsidR="00680687" w:rsidRDefault="00680687" w:rsidP="006A3ADC">
            <w:pPr>
              <w:rPr>
                <w:b/>
                <w:sz w:val="24"/>
                <w:vertAlign w:val="superscript"/>
                <w:rFonts w:ascii="Times New Roman" w:hAnsi="Times New Roman"/>
              </w:rPr>
            </w:pPr>
            <w:r>
              <w:rPr>
                <w:b/>
                <w:sz w:val="24"/>
                <w:u w:val="single"/>
                <w:rFonts w:ascii="Times New Roman" w:hAnsi="Times New Roman"/>
              </w:rPr>
              <w:t xml:space="preserve">BACVA</w:t>
            </w:r>
            <w:r>
              <w:rPr>
                <w:b/>
                <w:sz w:val="24"/>
                <w:vertAlign w:val="superscript"/>
                <w:rFonts w:ascii="Times New Roman" w:hAnsi="Times New Roman"/>
              </w:rPr>
              <w:t xml:space="preserve">csr-hedged</w:t>
            </w:r>
          </w:p>
          <w:p w14:paraId="34FB0CB6"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BACVAcsr-hedged för transaktioner som omfattas av den grundläggande metoden och som beräknas i enlighet med artikel 384.2 i förordning (EU) nr 575/2013 för ett institut som uppfyller villkoret i artikel 384.1 a i den förordningen.</w:t>
            </w:r>
            <w:r>
              <w:rPr>
                <w:sz w:val="24"/>
                <w:rFonts w:ascii="Times New Roman" w:hAnsi="Times New Roman"/>
              </w:rPr>
              <w:t xml:space="preserve"> </w:t>
            </w:r>
          </w:p>
        </w:tc>
      </w:tr>
      <w:tr w:rsidR="00680687" w:rsidRPr="002A677E" w14:paraId="00FE8EDC" w14:textId="77777777" w:rsidTr="006A3ADC">
        <w:tc>
          <w:tcPr>
            <w:tcW w:w="1172" w:type="dxa"/>
          </w:tcPr>
          <w:p w14:paraId="5303AFEA"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0110</w:t>
            </w:r>
          </w:p>
        </w:tc>
        <w:tc>
          <w:tcPr>
            <w:tcW w:w="7844" w:type="dxa"/>
          </w:tcPr>
          <w:p w14:paraId="4F8092A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Kapitalbaskrav</w:t>
            </w:r>
          </w:p>
          <w:p w14:paraId="1287DB8E"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Totala kapitalbaskrav för transaktioner som omfattas av den fullständiga grundläggande metoden och som beräknas i enlighet med artikel 384.2 i förordning (EU) nr 575/2013 för ett institut som uppfyller villkoret i artikel 384.1 a i den förordningen.</w:t>
            </w:r>
          </w:p>
        </w:tc>
      </w:tr>
      <w:tr w:rsidR="00680687" w:rsidRPr="002A677E" w14:paraId="4D9D19AA" w14:textId="77777777" w:rsidTr="006A3ADC">
        <w:tc>
          <w:tcPr>
            <w:tcW w:w="1172" w:type="dxa"/>
          </w:tcPr>
          <w:p w14:paraId="40BB5135"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0120–0270</w:t>
            </w:r>
          </w:p>
        </w:tc>
        <w:tc>
          <w:tcPr>
            <w:tcW w:w="7844" w:type="dxa"/>
          </w:tcPr>
          <w:p w14:paraId="6D273C70"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Schablonmetod för kreditvärdighetsjustering</w:t>
            </w:r>
          </w:p>
          <w:p w14:paraId="1546865B"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Kapitalbaskrav för kreditvärdighetsjustering (artikel 92.4 d och del tre avdelning VI i förordning (EU) nr 575/2013), beräknade i enlighet med artikel 383 i förordning (EU) nr 575/2013 för ett institut som uppfyller villkoret i artikel 382a.1 a i den förordningen.</w:t>
            </w:r>
          </w:p>
        </w:tc>
      </w:tr>
      <w:tr w:rsidR="00680687" w:rsidRPr="002A677E" w14:paraId="25255F9B" w14:textId="77777777" w:rsidTr="006A3ADC">
        <w:tc>
          <w:tcPr>
            <w:tcW w:w="1172" w:type="dxa"/>
          </w:tcPr>
          <w:p w14:paraId="1EEE68F9"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0120</w:t>
            </w:r>
          </w:p>
        </w:tc>
        <w:tc>
          <w:tcPr>
            <w:tcW w:w="7844" w:type="dxa"/>
          </w:tcPr>
          <w:p w14:paraId="3B3DE69C"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Nominellt belopp för säkring av kreditvärdighetsjusteringsrisker</w:t>
            </w:r>
          </w:p>
          <w:p w14:paraId="50C4B375"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Nominellt belopp för godtagbara säkringar av kreditvärdighetsjusteringsrisker som redovisas i enlighet med artikel 386 i förordning (EU) nr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0130</w:t>
            </w:r>
          </w:p>
        </w:tc>
        <w:tc>
          <w:tcPr>
            <w:tcW w:w="7844" w:type="dxa"/>
          </w:tcPr>
          <w:p w14:paraId="6FE0752E" w14:textId="77777777" w:rsidR="00680687" w:rsidRPr="002A677E" w:rsidRDefault="00680687" w:rsidP="006A3ADC">
            <w:pPr>
              <w:rPr>
                <w:b/>
                <w:sz w:val="24"/>
                <w:u w:val="single"/>
                <w:rFonts w:ascii="Times New Roman" w:hAnsi="Times New Roman"/>
              </w:rPr>
            </w:pPr>
            <w:r>
              <w:rPr>
                <w:b/>
                <w:sz w:val="24"/>
                <w:u w:val="single"/>
                <w:rFonts w:ascii="Times New Roman" w:hAnsi="Times New Roman"/>
              </w:rPr>
              <w:t xml:space="preserve">Antal motparter</w:t>
            </w:r>
          </w:p>
          <w:p w14:paraId="10FC4FF6" w14:textId="77777777" w:rsidR="00680687" w:rsidRPr="002A677E" w:rsidRDefault="00680687" w:rsidP="006A3ADC">
            <w:pPr>
              <w:rPr>
                <w:sz w:val="24"/>
                <w:rFonts w:ascii="Times New Roman" w:hAnsi="Times New Roman"/>
              </w:rPr>
            </w:pPr>
            <w:r>
              <w:rPr>
                <w:sz w:val="24"/>
                <w:rFonts w:ascii="Times New Roman" w:hAnsi="Times New Roman"/>
              </w:rPr>
              <w:t xml:space="preserve">Artikel 445a.1 c i förordning (EU) nr 575/2013</w:t>
            </w:r>
          </w:p>
          <w:p w14:paraId="3A9459B9" w14:textId="77777777" w:rsidR="00680687" w:rsidRPr="005C217A" w:rsidDel="00024DEA" w:rsidRDefault="00680687" w:rsidP="006A3ADC">
            <w:pPr>
              <w:rPr>
                <w:sz w:val="24"/>
                <w:rFonts w:ascii="Times New Roman" w:hAnsi="Times New Roman"/>
              </w:rPr>
            </w:pPr>
            <w:r>
              <w:rPr>
                <w:sz w:val="24"/>
                <w:rFonts w:ascii="Times New Roman" w:hAnsi="Times New Roman"/>
              </w:rPr>
              <w:t xml:space="preserve">Antal motparter enligt definitionen i artikel 383.1 i förordning (EU) nr 575/2013 som inkluderas i beräkningen av kapitalbas som behandlas enligt schablonmetoden för kreditvärderingsjusteringsrisk.</w:t>
            </w:r>
            <w:r>
              <w:rPr>
                <w:sz w:val="24"/>
                <w:rFonts w:ascii="Times New Roman" w:hAnsi="Times New Roman"/>
              </w:rPr>
              <w:t xml:space="preserve"> </w:t>
            </w:r>
            <w:r>
              <w:rPr>
                <w:sz w:val="24"/>
                <w:rFonts w:ascii="Times New Roman" w:hAnsi="Times New Roman"/>
              </w:rPr>
              <w:t xml:space="preserve">Det totala antalet ska rapporteras på rad 0010 och uppdelningen per motpartstyp på raderna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0140–0250</w:t>
            </w:r>
          </w:p>
        </w:tc>
        <w:tc>
          <w:tcPr>
            <w:tcW w:w="7844" w:type="dxa"/>
          </w:tcPr>
          <w:p w14:paraId="1E26CA07"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nettningsmängder enligt schablonmetoden för kreditvärdighetsjustering</w:t>
            </w:r>
          </w:p>
          <w:p w14:paraId="512141CA" w14:textId="72FCFDDA"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Kapitalbaskrav enligt schablonmetoden för kreditvärderingsjusteringsrisk i enlighet med artikel 383 i förordning (EU) nr 575/2013, inbegripet en uppdelning per riskklass enligt definitionen i artikel 383.2.1, och för var och en av riskklasserna kapitalbaskraven för deltarisker och vegarisker i enlighet med kraven i artikel 383.3 och i enlighet med artikel 383b i förordning (EU) nr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0140–0150</w:t>
            </w:r>
          </w:p>
        </w:tc>
        <w:tc>
          <w:tcPr>
            <w:tcW w:w="7844" w:type="dxa"/>
          </w:tcPr>
          <w:p w14:paraId="0AEAA3AD"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ränterisk</w:t>
            </w:r>
          </w:p>
          <w:p w14:paraId="6695CC3B" w14:textId="01E1C8B9"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Artiklarna 383c, 383i, 383j, 383k, 383l, 383m i förordning (EU) nr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0160–0170</w:t>
            </w:r>
          </w:p>
        </w:tc>
        <w:tc>
          <w:tcPr>
            <w:tcW w:w="7844" w:type="dxa"/>
          </w:tcPr>
          <w:p w14:paraId="5C9DEA36"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valutarisk</w:t>
            </w:r>
          </w:p>
          <w:p w14:paraId="312EFBD9" w14:textId="6EA3814A"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Artiklarna 383d, 383i, 383j, 383n, 383o i förordning (EU) nr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0180–0190</w:t>
            </w:r>
          </w:p>
        </w:tc>
        <w:tc>
          <w:tcPr>
            <w:tcW w:w="7844" w:type="dxa"/>
          </w:tcPr>
          <w:p w14:paraId="111D7BAC"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motpartskreditspreadrisk</w:t>
            </w:r>
          </w:p>
          <w:p w14:paraId="331E3D6B" w14:textId="1A5FCDC3"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Artiklarna 383e, 383i, 383j, 383p, 383q, 383r i förordning (EU) nr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0200–0210</w:t>
            </w:r>
          </w:p>
        </w:tc>
        <w:tc>
          <w:tcPr>
            <w:tcW w:w="7844" w:type="dxa"/>
          </w:tcPr>
          <w:p w14:paraId="34E7BFC3"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referenskreditspreadrisk</w:t>
            </w:r>
          </w:p>
          <w:p w14:paraId="39B46545" w14:textId="148AEA7F"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Artiklarna 383f, 383i, 383j, 383s, 383u i förordning (EU) nr 575/2013.</w:t>
            </w:r>
          </w:p>
        </w:tc>
      </w:tr>
      <w:tr w:rsidR="00680687" w:rsidRPr="002A677E" w14:paraId="0AA17295" w14:textId="77777777" w:rsidTr="006A3ADC">
        <w:tc>
          <w:tcPr>
            <w:tcW w:w="1172" w:type="dxa"/>
          </w:tcPr>
          <w:p w14:paraId="3BFBD270" w14:textId="77777777" w:rsidR="00680687" w:rsidRDefault="00680687" w:rsidP="006A3ADC">
            <w:pPr>
              <w:rPr>
                <w:sz w:val="24"/>
                <w:rFonts w:ascii="Times New Roman" w:hAnsi="Times New Roman"/>
              </w:rPr>
            </w:pPr>
            <w:r>
              <w:rPr>
                <w:sz w:val="24"/>
                <w:rFonts w:ascii="Times New Roman" w:hAnsi="Times New Roman"/>
              </w:rPr>
              <w:t xml:space="preserve">0220–0230</w:t>
            </w:r>
          </w:p>
        </w:tc>
        <w:tc>
          <w:tcPr>
            <w:tcW w:w="7844" w:type="dxa"/>
          </w:tcPr>
          <w:p w14:paraId="46C4DB98"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aktierisk</w:t>
            </w:r>
          </w:p>
          <w:p w14:paraId="092925F2" w14:textId="74EFD749" w:rsidR="00680687" w:rsidRPr="00460424" w:rsidRDefault="00680687" w:rsidP="006A3ADC">
            <w:pPr>
              <w:rPr>
                <w:b/>
                <w:sz w:val="24"/>
                <w:u w:val="single"/>
                <w:rFonts w:ascii="Times New Roman" w:hAnsi="Times New Roman"/>
              </w:rPr>
            </w:pPr>
            <w:r>
              <w:rPr>
                <w:sz w:val="24"/>
                <w:rFonts w:ascii="Times New Roman" w:hAnsi="Times New Roman"/>
              </w:rPr>
              <w:t xml:space="preserve">Artiklarna 383g, 383i, 383j, 383v, 383w i förordning (EU) nr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0240–0250</w:t>
            </w:r>
          </w:p>
        </w:tc>
        <w:tc>
          <w:tcPr>
            <w:tcW w:w="7844" w:type="dxa"/>
          </w:tcPr>
          <w:p w14:paraId="44A59885"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Kapitalbaskrav för råvarurisk</w:t>
            </w:r>
          </w:p>
          <w:p w14:paraId="1FD90135" w14:textId="4A1B5A40"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Artiklarna 383h, 383i, 383j, 383x, 383z i förordning (EU) nr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0260</w:t>
            </w:r>
          </w:p>
        </w:tc>
        <w:tc>
          <w:tcPr>
            <w:tcW w:w="7844" w:type="dxa"/>
          </w:tcPr>
          <w:p w14:paraId="2CADDF39" w14:textId="77777777" w:rsidR="00680687" w:rsidRPr="00D143CE" w:rsidRDefault="00680687" w:rsidP="006A3ADC">
            <w:pPr>
              <w:rPr>
                <w:b/>
                <w:sz w:val="24"/>
                <w:u w:val="single"/>
                <w:rFonts w:ascii="Times New Roman" w:hAnsi="Times New Roman"/>
              </w:rPr>
            </w:pPr>
            <w:r>
              <w:rPr>
                <w:b/>
                <w:sz w:val="24"/>
                <w:u w:val="single"/>
                <w:i/>
                <w:vertAlign w:val="superscript"/>
                <w:rFonts w:ascii="Times New Roman" w:hAnsi="Times New Roman"/>
              </w:rPr>
              <w:t xml:space="preserve">m</w:t>
            </w:r>
            <w:r>
              <w:rPr>
                <w:b/>
                <w:sz w:val="24"/>
                <w:u w:val="single"/>
                <w:rFonts w:ascii="Times New Roman" w:hAnsi="Times New Roman"/>
              </w:rPr>
              <w:t xml:space="preserve">CVA</w:t>
            </w:r>
          </w:p>
          <w:p w14:paraId="25594EAC"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Värdet av multiplikatorfaktorn för </w:t>
            </w:r>
            <w:r>
              <w:rPr>
                <w:sz w:val="24"/>
                <w:rFonts w:ascii="Cambria Math" w:hAnsi="Cambria Math"/>
              </w:rPr>
              <w:t xml:space="preserve">𝑚𝐶𝑉𝐴</w:t>
            </w:r>
            <w:r>
              <w:rPr>
                <w:sz w:val="24"/>
                <w:rFonts w:ascii="Times New Roman" w:hAnsi="Times New Roman"/>
              </w:rPr>
              <w:t xml:space="preserve"> i enlighet med artikel 383b.8 i förordning (EU) nr 575/2013.</w:t>
            </w:r>
            <w:r>
              <w:rPr>
                <w:sz w:val="24"/>
                <w:rFonts w:ascii="Times New Roman" w:hAnsi="Times New Roman"/>
              </w:rPr>
              <w:t xml:space="preserve"> </w:t>
            </w:r>
            <w:r>
              <w:rPr>
                <w:sz w:val="24"/>
                <w:rFonts w:ascii="Times New Roman" w:hAnsi="Times New Roman"/>
              </w:rPr>
              <w:t xml:space="preserve">Det värde som används vid beräkningen av kapitalbaskraven ska rapporteras (värdet är lika med 1 eller värdet höjt av de behöriga myndigheterna).</w:t>
            </w:r>
          </w:p>
        </w:tc>
      </w:tr>
      <w:tr w:rsidR="00680687" w:rsidRPr="002A677E" w14:paraId="0FFB4692" w14:textId="77777777" w:rsidTr="006A3ADC">
        <w:tc>
          <w:tcPr>
            <w:tcW w:w="1172" w:type="dxa"/>
          </w:tcPr>
          <w:p w14:paraId="249BE219"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0270</w:t>
            </w:r>
          </w:p>
        </w:tc>
        <w:tc>
          <w:tcPr>
            <w:tcW w:w="7844" w:type="dxa"/>
          </w:tcPr>
          <w:p w14:paraId="0B3D9E18"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Kapitalbaskrav</w:t>
            </w:r>
          </w:p>
          <w:p w14:paraId="55E6BD5C"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Kapitalbaskrav för transaktioner som omfattas av den schablonmetod för kreditvärdighetsjustering som beräknas i enlighet med artikel 383 i förordning (EU) nr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0280</w:t>
            </w:r>
          </w:p>
        </w:tc>
        <w:tc>
          <w:tcPr>
            <w:tcW w:w="7844" w:type="dxa"/>
          </w:tcPr>
          <w:p w14:paraId="618674CA"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SUMMA KAPITALBASKRAV</w:t>
            </w:r>
          </w:p>
          <w:p w14:paraId="7E3B417F" w14:textId="166217C7" w:rsidR="00680687" w:rsidRPr="002A677E" w:rsidRDefault="00680687" w:rsidP="006A3ADC">
            <w:pPr>
              <w:rPr>
                <w:sz w:val="24"/>
                <w:rFonts w:ascii="Times New Roman" w:hAnsi="Times New Roman"/>
              </w:rPr>
            </w:pPr>
            <w:r>
              <w:rPr>
                <w:sz w:val="24"/>
                <w:rFonts w:ascii="Times New Roman" w:hAnsi="Times New Roman"/>
              </w:rPr>
              <w:t xml:space="preserve">Artikel 92.4 e i förordning (EU) nr 575/2013.</w:t>
            </w:r>
            <w:r>
              <w:rPr>
                <w:sz w:val="24"/>
                <w:rFonts w:ascii="Times New Roman" w:hAnsi="Times New Roman"/>
              </w:rPr>
              <w:t xml:space="preserve"> </w:t>
            </w:r>
          </w:p>
          <w:p w14:paraId="424C965B"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Totala kapitalbaskrav för kreditvärdighetsjusteringsrisk beräknade med hjälp av någon av de tillämpliga metoder som avses i artikel 382a i förordning (EU) nr 575/2013.</w:t>
            </w:r>
            <w:r>
              <w:rPr>
                <w:sz w:val="24"/>
                <w:rFonts w:ascii="Times New Roman" w:hAnsi="Times New Roman"/>
              </w:rPr>
              <w:t xml:space="preserve">  </w:t>
            </w:r>
            <w:r>
              <w:rPr>
                <w:sz w:val="24"/>
                <w:rFonts w:ascii="Times New Roman" w:hAnsi="Times New Roman"/>
              </w:rPr>
              <w:t xml:space="preserve">Om mer än en metod tillämpas ska den enkla summan av alla kapitalbaskrav för varje metod rapporteras.</w:t>
            </w:r>
          </w:p>
        </w:tc>
      </w:tr>
      <w:tr w:rsidR="00680687" w:rsidRPr="002A677E" w14:paraId="460901D5" w14:textId="77777777" w:rsidTr="006A3ADC">
        <w:tc>
          <w:tcPr>
            <w:tcW w:w="1172" w:type="dxa"/>
          </w:tcPr>
          <w:p w14:paraId="61FCBEEB"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0290</w:t>
            </w:r>
          </w:p>
        </w:tc>
        <w:tc>
          <w:tcPr>
            <w:tcW w:w="7844" w:type="dxa"/>
          </w:tcPr>
          <w:p w14:paraId="38352FA3"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TOTALT RISKVÄGT EXPONERINGSBELOPP</w:t>
            </w:r>
          </w:p>
          <w:p w14:paraId="6B715A20" w14:textId="77777777" w:rsidR="00680687" w:rsidRPr="002A677E" w:rsidRDefault="00680687" w:rsidP="006A3ADC">
            <w:pPr>
              <w:rPr>
                <w:sz w:val="24"/>
                <w:rFonts w:ascii="Times New Roman" w:hAnsi="Times New Roman"/>
              </w:rPr>
            </w:pPr>
            <w:r>
              <w:rPr>
                <w:sz w:val="24"/>
                <w:rFonts w:ascii="Times New Roman" w:hAnsi="Times New Roman"/>
              </w:rPr>
              <w:t xml:space="preserve">Artikel 92.6 i förordning (EU) nr 575/2013.</w:t>
            </w:r>
          </w:p>
          <w:p w14:paraId="769B7CA0" w14:textId="77777777" w:rsidR="00680687" w:rsidRPr="005C217A" w:rsidDel="00024DEA" w:rsidRDefault="00680687" w:rsidP="006A3ADC">
            <w:pPr>
              <w:rPr>
                <w:bCs/>
                <w:sz w:val="24"/>
                <w:rFonts w:ascii="Times New Roman" w:hAnsi="Times New Roman"/>
              </w:rPr>
            </w:pPr>
            <w:r>
              <w:rPr>
                <w:sz w:val="24"/>
                <w:rFonts w:ascii="Times New Roman" w:hAnsi="Times New Roman"/>
              </w:rPr>
              <w:t xml:space="preserve">Kapitalbaskraven multiplicerade med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b/>
                <w:sz w:val="24"/>
                <w:rFonts w:ascii="Times New Roman" w:hAnsi="Times New Roman"/>
              </w:rPr>
            </w:pPr>
            <w:r>
              <w:rPr>
                <w:b/>
                <w:sz w:val="24"/>
                <w:rFonts w:ascii="Times New Roman" w:hAnsi="Times New Roman"/>
              </w:rPr>
              <w:t xml:space="preserve">Rad</w:t>
            </w:r>
          </w:p>
        </w:tc>
      </w:tr>
      <w:tr w:rsidR="00680687" w:rsidRPr="002A677E" w14:paraId="7CF1BC60" w14:textId="77777777" w:rsidTr="006A3ADC">
        <w:tc>
          <w:tcPr>
            <w:tcW w:w="1172" w:type="dxa"/>
          </w:tcPr>
          <w:p w14:paraId="041DB542" w14:textId="77777777" w:rsidR="00680687" w:rsidRPr="002A677E" w:rsidRDefault="00680687" w:rsidP="006A3ADC">
            <w:pPr>
              <w:rPr>
                <w:sz w:val="24"/>
                <w:rFonts w:ascii="Times New Roman" w:hAnsi="Times New Roman"/>
              </w:rPr>
            </w:pPr>
            <w:r>
              <w:rPr>
                <w:sz w:val="24"/>
                <w:rFonts w:ascii="Times New Roman" w:hAnsi="Times New Roman"/>
              </w:rPr>
              <w:t xml:space="preserve">0010</w:t>
            </w:r>
          </w:p>
        </w:tc>
        <w:tc>
          <w:tcPr>
            <w:tcW w:w="7844" w:type="dxa"/>
          </w:tcPr>
          <w:p w14:paraId="02BF5C47" w14:textId="77777777" w:rsidR="00680687" w:rsidRPr="00743542" w:rsidRDefault="00680687" w:rsidP="006A3ADC">
            <w:pPr>
              <w:rPr>
                <w:b/>
                <w:bCs/>
                <w:sz w:val="24"/>
                <w:u w:val="single"/>
                <w:rFonts w:ascii="Times New Roman" w:hAnsi="Times New Roman"/>
              </w:rPr>
            </w:pPr>
            <w:r>
              <w:rPr>
                <w:b/>
                <w:sz w:val="24"/>
                <w:u w:val="single"/>
                <w:rFonts w:ascii="Times New Roman" w:hAnsi="Times New Roman"/>
              </w:rPr>
              <w:t xml:space="preserve">Transaktioner som omfattas av kapitalbaskravet för kreditvärdighetsjusteringsrisk</w:t>
            </w:r>
          </w:p>
          <w:p w14:paraId="0243C539" w14:textId="77777777" w:rsidR="00680687" w:rsidRPr="00DB28D1" w:rsidRDefault="00680687" w:rsidP="006A3ADC">
            <w:pPr>
              <w:rPr>
                <w:sz w:val="24"/>
                <w:rFonts w:ascii="Times New Roman" w:hAnsi="Times New Roman"/>
              </w:rPr>
            </w:pPr>
            <w:r>
              <w:rPr>
                <w:sz w:val="24"/>
                <w:rFonts w:ascii="Times New Roman" w:hAnsi="Times New Roman"/>
              </w:rPr>
              <w:t xml:space="preserve">Artikel 382 i förordning (EU) nr 575/2013.</w:t>
            </w:r>
          </w:p>
        </w:tc>
      </w:tr>
      <w:tr w:rsidR="00680687" w:rsidRPr="002A677E" w14:paraId="25F63C9E" w14:textId="77777777" w:rsidTr="006A3ADC">
        <w:tc>
          <w:tcPr>
            <w:tcW w:w="1172" w:type="dxa"/>
          </w:tcPr>
          <w:p w14:paraId="60D4A734" w14:textId="77777777" w:rsidR="00680687" w:rsidRPr="002A677E" w:rsidRDefault="00680687" w:rsidP="006A3ADC">
            <w:pPr>
              <w:rPr>
                <w:sz w:val="24"/>
                <w:rFonts w:ascii="Times New Roman" w:hAnsi="Times New Roman"/>
              </w:rPr>
            </w:pPr>
            <w:r>
              <w:rPr>
                <w:sz w:val="24"/>
                <w:rFonts w:ascii="Times New Roman" w:hAnsi="Times New Roman"/>
              </w:rPr>
              <w:t xml:space="preserve">0020</w:t>
            </w:r>
          </w:p>
        </w:tc>
        <w:tc>
          <w:tcPr>
            <w:tcW w:w="7844" w:type="dxa"/>
          </w:tcPr>
          <w:p w14:paraId="591F63A9"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endast derivat</w:t>
            </w:r>
          </w:p>
          <w:p w14:paraId="243F2835" w14:textId="77777777" w:rsidR="00680687" w:rsidRPr="002A677E" w:rsidRDefault="00680687" w:rsidP="006A3ADC">
            <w:pPr>
              <w:rPr>
                <w:sz w:val="24"/>
                <w:rFonts w:ascii="Times New Roman" w:hAnsi="Times New Roman"/>
              </w:rPr>
            </w:pPr>
            <w:r>
              <w:rPr>
                <w:sz w:val="24"/>
                <w:rFonts w:ascii="Times New Roman" w:hAnsi="Times New Roman"/>
              </w:rPr>
              <w:t xml:space="preserve">Derivat som omfattas av artikel 382 i förordning (EU) nr 575/2013 (dvs. alla transaktioner som rapporteras på rad 0010, med undantag för transaktioner för värdepappersfinansiering).</w:t>
            </w:r>
          </w:p>
        </w:tc>
      </w:tr>
      <w:tr w:rsidR="00680687" w:rsidRPr="002A677E" w14:paraId="24634A77" w14:textId="77777777" w:rsidTr="006A3ADC">
        <w:tc>
          <w:tcPr>
            <w:tcW w:w="1172" w:type="dxa"/>
          </w:tcPr>
          <w:p w14:paraId="72803830" w14:textId="77777777" w:rsidR="00680687" w:rsidRPr="002A677E" w:rsidRDefault="00680687" w:rsidP="006A3ADC">
            <w:pPr>
              <w:rPr>
                <w:sz w:val="24"/>
                <w:rFonts w:ascii="Times New Roman" w:hAnsi="Times New Roman"/>
              </w:rPr>
            </w:pPr>
            <w:r>
              <w:rPr>
                <w:sz w:val="24"/>
                <w:rFonts w:ascii="Times New Roman" w:hAnsi="Times New Roman"/>
              </w:rPr>
              <w:t xml:space="preserve">0030</w:t>
            </w:r>
          </w:p>
        </w:tc>
        <w:tc>
          <w:tcPr>
            <w:tcW w:w="7844" w:type="dxa"/>
          </w:tcPr>
          <w:p w14:paraId="3BF86B85"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På annat sätt undantagna transaktioner som instituten väljer att återintegrera i beräkningen av kapitalbaskraven</w:t>
            </w:r>
          </w:p>
          <w:p w14:paraId="44419E50" w14:textId="77777777" w:rsidR="00680687" w:rsidRPr="002A677E" w:rsidRDefault="00680687" w:rsidP="006A3ADC">
            <w:pPr>
              <w:rPr>
                <w:sz w:val="24"/>
                <w:rFonts w:ascii="Times New Roman" w:hAnsi="Times New Roman"/>
              </w:rPr>
            </w:pPr>
            <w:r>
              <w:rPr>
                <w:sz w:val="24"/>
                <w:rFonts w:ascii="Times New Roman" w:hAnsi="Times New Roman"/>
              </w:rPr>
              <w:t xml:space="preserve">Artikel 382.4a i förordning (EU) nr 575/2013.</w:t>
            </w:r>
          </w:p>
        </w:tc>
      </w:tr>
      <w:tr w:rsidR="00680687" w:rsidRPr="002A677E" w14:paraId="2AF23E14" w14:textId="77777777" w:rsidTr="006A3ADC">
        <w:tc>
          <w:tcPr>
            <w:tcW w:w="1172" w:type="dxa"/>
          </w:tcPr>
          <w:p w14:paraId="102C842F" w14:textId="77777777" w:rsidR="00680687" w:rsidRPr="002A677E" w:rsidRDefault="00680687" w:rsidP="006A3ADC">
            <w:pPr>
              <w:rPr>
                <w:sz w:val="24"/>
                <w:rFonts w:ascii="Times New Roman" w:hAnsi="Times New Roman"/>
              </w:rPr>
            </w:pPr>
            <w:r>
              <w:rPr>
                <w:sz w:val="24"/>
                <w:rFonts w:ascii="Times New Roman" w:hAnsi="Times New Roman"/>
              </w:rPr>
              <w:t xml:space="preserve">0040–0220</w:t>
            </w:r>
          </w:p>
        </w:tc>
        <w:tc>
          <w:tcPr>
            <w:tcW w:w="7844" w:type="dxa"/>
          </w:tcPr>
          <w:p w14:paraId="16D7C775" w14:textId="77777777" w:rsidR="00680687" w:rsidRPr="006E1C89" w:rsidRDefault="00680687" w:rsidP="006A3ADC">
            <w:pPr>
              <w:rPr>
                <w:b/>
                <w:bCs/>
                <w:caps/>
                <w:sz w:val="24"/>
                <w:u w:val="single"/>
                <w:rFonts w:ascii="Times New Roman" w:hAnsi="Times New Roman"/>
              </w:rPr>
            </w:pPr>
            <w:r>
              <w:rPr>
                <w:b/>
                <w:caps/>
                <w:sz w:val="24"/>
                <w:u w:val="single"/>
                <w:rFonts w:ascii="Times New Roman" w:hAnsi="Times New Roman"/>
              </w:rPr>
              <w:t xml:space="preserve">MEMORANDUMPOSTER</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sz w:val="24"/>
                <w:rFonts w:ascii="Times New Roman" w:hAnsi="Times New Roman"/>
              </w:rPr>
            </w:pPr>
            <w:r>
              <w:rPr>
                <w:sz w:val="24"/>
                <w:rFonts w:ascii="Times New Roman" w:hAnsi="Times New Roman"/>
              </w:rPr>
              <w:t xml:space="preserve">0040–0110</w:t>
            </w:r>
          </w:p>
        </w:tc>
        <w:tc>
          <w:tcPr>
            <w:tcW w:w="7844" w:type="dxa"/>
          </w:tcPr>
          <w:p w14:paraId="18AE86C3"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Undantag från kreditvärdighetsjustering:</w:t>
            </w:r>
            <w:r>
              <w:rPr>
                <w:b/>
                <w:sz w:val="24"/>
                <w:u w:val="single"/>
                <w:rFonts w:ascii="Times New Roman" w:hAnsi="Times New Roman"/>
              </w:rPr>
              <w:t xml:space="preserve"> </w:t>
            </w:r>
            <w:r>
              <w:rPr>
                <w:b/>
                <w:sz w:val="24"/>
                <w:u w:val="single"/>
                <w:rFonts w:ascii="Times New Roman" w:hAnsi="Times New Roman"/>
              </w:rPr>
              <w:t xml:space="preserve">marginaleffekt av återintegrering</w:t>
            </w:r>
          </w:p>
          <w:p w14:paraId="7A74B86F" w14:textId="77777777" w:rsidR="00680687" w:rsidRPr="005C217A" w:rsidRDefault="00680687" w:rsidP="006A3ADC">
            <w:pPr>
              <w:rPr>
                <w:sz w:val="24"/>
                <w:rFonts w:ascii="Times New Roman" w:hAnsi="Times New Roman"/>
              </w:rPr>
            </w:pPr>
            <w:r>
              <w:rPr>
                <w:sz w:val="24"/>
                <w:rFonts w:ascii="Times New Roman" w:hAnsi="Times New Roman"/>
              </w:rPr>
              <w:t xml:space="preserve">Marginaleffekt av återintegrering av undantag från kreditvärdighetsjusteringen enligt definitionen i artikel 382.3 och 382.4 i förordning (EU) nr 575/2013, separat för varje undantag.</w:t>
            </w:r>
            <w:r>
              <w:rPr>
                <w:sz w:val="24"/>
                <w:rFonts w:ascii="Times New Roman" w:hAnsi="Times New Roman"/>
              </w:rPr>
              <w:t xml:space="preserve"> </w:t>
            </w:r>
            <w:r>
              <w:rPr>
                <w:sz w:val="24"/>
                <w:rFonts w:ascii="Times New Roman" w:hAnsi="Times New Roman"/>
              </w:rPr>
              <w:t xml:space="preserve">Marginaleffekten är skillnaden, uttryckt i absoluta belopp, mellan det relevanta måttet för omfattningen av de transaktioner som avses på rad 0010 efter återintegrering av undantaget, och det relevanta måttet för omfattningen av de transaktioner som avses på rad 0010.</w:t>
            </w:r>
            <w:r>
              <w:rPr>
                <w:sz w:val="24"/>
                <w:rFonts w:ascii="Times New Roman" w:hAnsi="Times New Roman"/>
              </w:rPr>
              <w:t xml:space="preserve">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sz w:val="24"/>
                <w:rFonts w:ascii="Times New Roman" w:hAnsi="Times New Roman"/>
              </w:rPr>
            </w:pPr>
            <w:r>
              <w:rPr>
                <w:sz w:val="24"/>
                <w:rFonts w:ascii="Times New Roman" w:hAnsi="Times New Roman"/>
              </w:rPr>
              <w:t xml:space="preserve">0040</w:t>
            </w:r>
          </w:p>
        </w:tc>
        <w:tc>
          <w:tcPr>
            <w:tcW w:w="7844" w:type="dxa"/>
          </w:tcPr>
          <w:p w14:paraId="7D9C78C4" w14:textId="77777777" w:rsidR="00680687" w:rsidRPr="006E1C89" w:rsidRDefault="00680687" w:rsidP="006A3ADC">
            <w:pPr>
              <w:rPr>
                <w:b/>
                <w:bCs/>
                <w:sz w:val="24"/>
                <w:u w:val="single"/>
                <w:rFonts w:ascii="Times New Roman" w:hAnsi="Times New Roman"/>
              </w:rPr>
            </w:pPr>
            <w:r>
              <w:rPr>
                <w:b/>
                <w:sz w:val="24"/>
                <w:u w:val="single"/>
                <w:rFonts w:ascii="Times New Roman" w:hAnsi="Times New Roman"/>
              </w:rPr>
              <w:t xml:space="preserve">Alla undantagna transaktioner</w:t>
            </w:r>
          </w:p>
          <w:p w14:paraId="76D1F41B" w14:textId="77777777" w:rsidR="00680687" w:rsidRDefault="00680687" w:rsidP="006A3ADC">
            <w:pPr>
              <w:pStyle w:val="Default"/>
              <w:jc w:val="both"/>
              <w:rPr>
                <w:sz w:val="20"/>
                <w:szCs w:val="20"/>
              </w:rPr>
            </w:pPr>
            <w:r>
              <w:rPr>
                <w:rFonts w:ascii="Times New Roman" w:hAnsi="Times New Roman"/>
              </w:rPr>
              <w:t xml:space="preserve">Marginaleffekt av återintegrering av alla undantag från kreditvärdighetsjusteringen enligt definitionen i artikel 382.3 och 382.4 i förordning (EU) nr 575/2013.</w:t>
            </w:r>
            <w:r>
              <w:rPr>
                <w:rFonts w:ascii="Times New Roman" w:hAnsi="Times New Roman"/>
              </w:rPr>
              <w:t xml:space="preserve"> </w:t>
            </w:r>
          </w:p>
          <w:p w14:paraId="6F8EA837" w14:textId="77777777" w:rsidR="00680687" w:rsidRPr="008A700D" w:rsidRDefault="00680687" w:rsidP="006A3ADC">
            <w:pPr>
              <w:pStyle w:val="Default"/>
              <w:rPr>
                <w:rFonts w:ascii="Times New Roman" w:hAnsi="Times New Roman"/>
              </w:rPr>
            </w:pPr>
            <w:r>
              <w:rPr>
                <w:color w:val="auto"/>
                <w:rFonts w:ascii="Times New Roman" w:hAnsi="Times New Roman"/>
              </w:rPr>
              <w:t xml:space="preserve">Transaktionernas omfattning ska bestå av alla transaktioner som rapporteras på rad 0010, utan beaktande av de undantag som anges i artikel 382.3 och 382.4</w:t>
            </w:r>
            <w:r>
              <w:rPr>
                <w:rFonts w:ascii="Times New Roman" w:hAnsi="Times New Roman"/>
              </w:rPr>
              <w:t xml:space="preserve"> i förordning (EU) nr 575/2013.</w:t>
            </w:r>
            <w:r>
              <w:rPr>
                <w:color w:val="auto"/>
                <w:rFonts w:ascii="Times New Roman" w:hAnsi="Times New Roman"/>
              </w:rPr>
              <w:t xml:space="preserve"> </w:t>
            </w:r>
            <w:r>
              <w:rPr>
                <w:color w:val="auto"/>
                <w:rFonts w:ascii="Times New Roman" w:hAnsi="Times New Roman"/>
              </w:rPr>
              <w:t xml:space="preserve">Specifikt ska de ovannämnda transaktioner som för närvarande undantas från beräkningen av kapitalkrav för kreditvärdighetsjustering enligt dessa artiklar återintegreras på denna rad.</w:t>
            </w:r>
            <w:r>
              <w:rPr>
                <w:color w:val="auto"/>
                <w:rFonts w:ascii="Times New Roman" w:hAnsi="Times New Roman"/>
              </w:rPr>
              <w:t xml:space="preserve"> </w:t>
            </w:r>
            <w:r>
              <w:rPr>
                <w:color w:val="auto"/>
                <w:rFonts w:ascii="Times New Roman" w:hAnsi="Times New Roman"/>
              </w:rPr>
              <w:t xml:space="preserve">De totala antalet transaktioner som återintegrerats på denna rad ska vara de transaktioner som återintegrerats enligt raderna 0050–0110.</w:t>
            </w:r>
            <w:r>
              <w:rPr>
                <w:color w:val="auto"/>
                <w:rFonts w:ascii="Times New Roman" w:hAnsi="Times New Roman"/>
              </w:rPr>
              <w:t xml:space="preserve"> </w:t>
            </w:r>
          </w:p>
        </w:tc>
      </w:tr>
      <w:tr w:rsidR="00680687" w:rsidRPr="002A677E" w14:paraId="23ECB2C1" w14:textId="77777777" w:rsidTr="006A3ADC">
        <w:tc>
          <w:tcPr>
            <w:tcW w:w="1172" w:type="dxa"/>
          </w:tcPr>
          <w:p w14:paraId="5973D18B" w14:textId="77777777" w:rsidR="00680687" w:rsidRPr="002A677E" w:rsidRDefault="00680687" w:rsidP="006A3ADC">
            <w:pPr>
              <w:rPr>
                <w:sz w:val="24"/>
                <w:rFonts w:ascii="Times New Roman" w:hAnsi="Times New Roman"/>
              </w:rPr>
            </w:pPr>
            <w:r>
              <w:rPr>
                <w:sz w:val="24"/>
                <w:rFonts w:ascii="Times New Roman" w:hAnsi="Times New Roman"/>
              </w:rPr>
              <w:t xml:space="preserve">0050</w:t>
            </w:r>
          </w:p>
        </w:tc>
        <w:tc>
          <w:tcPr>
            <w:tcW w:w="7844" w:type="dxa"/>
          </w:tcPr>
          <w:p w14:paraId="4B3AB855" w14:textId="77777777" w:rsidR="00680687" w:rsidRDefault="00680687" w:rsidP="006A3ADC">
            <w:pPr>
              <w:pStyle w:val="Default"/>
              <w:jc w:val="both"/>
              <w:rPr>
                <w:b/>
                <w:bCs/>
                <w:color w:val="auto"/>
                <w:u w:val="single"/>
                <w:rFonts w:ascii="Times New Roman" w:eastAsia="Times New Roman" w:hAnsi="Times New Roman" w:cs="Times New Roman"/>
              </w:rPr>
            </w:pPr>
            <w:r>
              <w:rPr>
                <w:b/>
                <w:color w:val="auto"/>
                <w:u w:val="single"/>
                <w:rFonts w:ascii="Times New Roman" w:hAnsi="Times New Roman"/>
              </w:rPr>
              <w:t xml:space="preserve">Kundtransaktioner</w:t>
            </w:r>
          </w:p>
          <w:p w14:paraId="26BE71DE" w14:textId="77777777" w:rsidR="00680687" w:rsidRDefault="00680687" w:rsidP="006A3ADC">
            <w:pPr>
              <w:pStyle w:val="Default"/>
              <w:jc w:val="both"/>
              <w:rPr>
                <w:rFonts w:ascii="Times New Roman" w:hAnsi="Times New Roman"/>
              </w:rPr>
            </w:pPr>
            <w:r>
              <w:rPr>
                <w:rFonts w:ascii="Times New Roman" w:hAnsi="Times New Roman"/>
              </w:rPr>
              <w:t xml:space="preserve">Marginaleffekt av återintegrering av kundtransaktioner enligt definitionen i artikel 382.3 i förordning (EU) nr 575/2013.</w:t>
            </w:r>
          </w:p>
          <w:p w14:paraId="73231515" w14:textId="77777777" w:rsidR="00680687" w:rsidRPr="005C217A" w:rsidRDefault="00680687" w:rsidP="006A3ADC">
            <w:pPr>
              <w:pStyle w:val="Default"/>
              <w:rPr>
                <w:sz w:val="20"/>
                <w:szCs w:val="20"/>
              </w:rPr>
            </w:pPr>
            <w:r>
              <w:rPr>
                <w:rFonts w:ascii="Times New Roman" w:hAnsi="Times New Roman"/>
              </w:rPr>
              <w:t xml:space="preserve">Marginaleffekt av återintegrering av transaktioner mellan en kund och en clearingmedlem, när clearingmedlemmen agerar som mellanhand mellan kunden och en kvalificerad central motpart, som är undantagna enligt artikel 382.3 i förordning (EU) nr 575/2013 från tillämpningsområdet för rad 0010.</w:t>
            </w:r>
            <w:r>
              <w:rPr>
                <w:rFonts w:ascii="Times New Roman" w:hAnsi="Times New Roman"/>
              </w:rPr>
              <w:t xml:space="preserve"> </w:t>
            </w:r>
            <w:r>
              <w:rPr>
                <w:rFonts w:ascii="Times New Roman" w:hAnsi="Times New Roman"/>
              </w:rPr>
              <w:t xml:space="preserve">Kunderna bör inte återintegrera dessa transaktioner när transaktionen uppfyller kraven i artikel 305.2, 305.3 och 305.4 i den förordningen.</w:t>
            </w:r>
            <w:r>
              <w:rPr>
                <w:rFonts w:ascii="Times New Roman" w:hAnsi="Times New Roman"/>
              </w:rPr>
              <w:t xml:space="preserve"> </w:t>
            </w:r>
          </w:p>
        </w:tc>
      </w:tr>
      <w:tr w:rsidR="00680687" w:rsidRPr="002A677E" w14:paraId="08AD2EE8" w14:textId="77777777" w:rsidTr="006A3ADC">
        <w:tc>
          <w:tcPr>
            <w:tcW w:w="1172" w:type="dxa"/>
          </w:tcPr>
          <w:p w14:paraId="4A924DC9" w14:textId="77777777" w:rsidR="00680687" w:rsidRPr="002A677E" w:rsidRDefault="00680687" w:rsidP="006A3ADC">
            <w:pPr>
              <w:rPr>
                <w:sz w:val="24"/>
                <w:rFonts w:ascii="Times New Roman" w:hAnsi="Times New Roman"/>
              </w:rPr>
            </w:pPr>
            <w:r>
              <w:rPr>
                <w:sz w:val="24"/>
                <w:rFonts w:ascii="Times New Roman" w:hAnsi="Times New Roman"/>
              </w:rPr>
              <w:t xml:space="preserve">0060</w:t>
            </w:r>
          </w:p>
        </w:tc>
        <w:tc>
          <w:tcPr>
            <w:tcW w:w="7844" w:type="dxa"/>
          </w:tcPr>
          <w:p w14:paraId="69BEF048"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icke-finansiella motparter</w:t>
            </w:r>
          </w:p>
          <w:p w14:paraId="5D14F94F" w14:textId="77777777" w:rsidR="00680687" w:rsidRPr="002A677E" w:rsidRDefault="00680687" w:rsidP="006A3ADC">
            <w:pPr>
              <w:rPr>
                <w:sz w:val="24"/>
                <w:rFonts w:ascii="Times New Roman" w:hAnsi="Times New Roman"/>
              </w:rPr>
            </w:pPr>
            <w:r>
              <w:rPr>
                <w:sz w:val="24"/>
                <w:rFonts w:ascii="Times New Roman" w:hAnsi="Times New Roman"/>
              </w:rPr>
              <w:t xml:space="preserve">Marginaleffekt av återintegrering av transaktioner med icke-finansiella motparter enligt definitionen i artikel 382.4 a i förordning (EU) nr 575/2013.</w:t>
            </w:r>
          </w:p>
        </w:tc>
      </w:tr>
      <w:tr w:rsidR="00680687" w:rsidRPr="002A677E" w14:paraId="0299633B" w14:textId="77777777" w:rsidTr="006A3ADC">
        <w:tc>
          <w:tcPr>
            <w:tcW w:w="1172" w:type="dxa"/>
          </w:tcPr>
          <w:p w14:paraId="76ED40A3" w14:textId="77777777" w:rsidR="00680687" w:rsidRPr="002A677E" w:rsidRDefault="00680687" w:rsidP="006A3ADC">
            <w:pPr>
              <w:rPr>
                <w:sz w:val="24"/>
                <w:rFonts w:ascii="Times New Roman" w:hAnsi="Times New Roman"/>
              </w:rPr>
            </w:pPr>
            <w:r>
              <w:rPr>
                <w:sz w:val="24"/>
                <w:rFonts w:ascii="Times New Roman" w:hAnsi="Times New Roman"/>
              </w:rPr>
              <w:t xml:space="preserve">0070</w:t>
            </w:r>
          </w:p>
        </w:tc>
        <w:tc>
          <w:tcPr>
            <w:tcW w:w="7844" w:type="dxa"/>
          </w:tcPr>
          <w:p w14:paraId="06D59C90"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icke-finansiella motparter, endast EU</w:t>
            </w:r>
          </w:p>
          <w:p w14:paraId="4BE3F0CA" w14:textId="77777777" w:rsidR="00680687" w:rsidRPr="002A677E" w:rsidRDefault="00680687" w:rsidP="006A3ADC">
            <w:pPr>
              <w:rPr>
                <w:sz w:val="24"/>
                <w:rFonts w:ascii="Times New Roman" w:hAnsi="Times New Roman"/>
              </w:rPr>
            </w:pPr>
            <w:r>
              <w:rPr>
                <w:sz w:val="24"/>
                <w:rFonts w:ascii="Times New Roman" w:hAnsi="Times New Roman"/>
              </w:rPr>
              <w:t xml:space="preserve">Endast marginaleffekt av återintegrering av transaktioner med icke-finansiella motparter i EU.</w:t>
            </w:r>
            <w:r>
              <w:rPr>
                <w:sz w:val="24"/>
                <w:rFonts w:ascii="Times New Roman" w:hAnsi="Times New Roman"/>
              </w:rPr>
              <w:t xml:space="preserve"> </w:t>
            </w:r>
            <w:r>
              <w:rPr>
                <w:sz w:val="24"/>
                <w:rFonts w:ascii="Times New Roman" w:hAnsi="Times New Roman"/>
              </w:rPr>
              <w:t xml:space="preserve">Transaktionernas omfattning ska bestå av alla transaktioner som rapporteras på rad 0060 minus omfattningen av de transaktioner som rapporteras på rad 0080.</w:t>
            </w:r>
          </w:p>
        </w:tc>
      </w:tr>
      <w:tr w:rsidR="00680687" w:rsidRPr="002A677E" w14:paraId="3731030D" w14:textId="77777777" w:rsidTr="006A3ADC">
        <w:tc>
          <w:tcPr>
            <w:tcW w:w="1172" w:type="dxa"/>
          </w:tcPr>
          <w:p w14:paraId="51808CD9" w14:textId="77777777" w:rsidR="00680687" w:rsidRPr="002A677E" w:rsidRDefault="00680687" w:rsidP="006A3ADC">
            <w:pPr>
              <w:rPr>
                <w:sz w:val="24"/>
                <w:rFonts w:ascii="Times New Roman" w:hAnsi="Times New Roman"/>
              </w:rPr>
            </w:pPr>
            <w:r>
              <w:rPr>
                <w:sz w:val="24"/>
                <w:rFonts w:ascii="Times New Roman" w:hAnsi="Times New Roman"/>
              </w:rPr>
              <w:t xml:space="preserve">0080</w:t>
            </w:r>
          </w:p>
        </w:tc>
        <w:tc>
          <w:tcPr>
            <w:tcW w:w="7844" w:type="dxa"/>
          </w:tcPr>
          <w:p w14:paraId="4BA84670"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icke-finansiella motparter, endast tredjeland</w:t>
            </w:r>
          </w:p>
          <w:p w14:paraId="11A30CDC" w14:textId="77777777" w:rsidR="00680687" w:rsidRPr="002A677E" w:rsidRDefault="00680687" w:rsidP="006A3ADC">
            <w:pPr>
              <w:rPr>
                <w:b/>
                <w:sz w:val="24"/>
                <w:u w:val="single"/>
                <w:rFonts w:ascii="Times New Roman" w:hAnsi="Times New Roman"/>
              </w:rPr>
            </w:pPr>
            <w:r>
              <w:rPr>
                <w:sz w:val="24"/>
                <w:rFonts w:ascii="Times New Roman" w:hAnsi="Times New Roman"/>
              </w:rPr>
              <w:t xml:space="preserve">Endast marginaleffekt av återintegrering av transaktioner med icke-finansiella motparter i tredjeländer.</w:t>
            </w:r>
            <w:r>
              <w:rPr>
                <w:sz w:val="24"/>
                <w:rFonts w:ascii="Times New Roman" w:hAnsi="Times New Roman"/>
              </w:rPr>
              <w:t xml:space="preserve"> </w:t>
            </w:r>
            <w:r>
              <w:rPr>
                <w:sz w:val="24"/>
                <w:rFonts w:ascii="Times New Roman" w:hAnsi="Times New Roman"/>
              </w:rPr>
              <w:t xml:space="preserve">Transaktionernas omfattning ska bestå av alla transaktioner som rapporteras på rad 0060 minus omfattningen av de transaktioner som rapporteras på rad 0070</w:t>
            </w:r>
            <w:r>
              <w:rPr>
                <w:rFonts w:ascii="Times New Roman" w:hAnsi="Times New Roman"/>
              </w:rPr>
              <w:t xml:space="preserve">.</w:t>
            </w:r>
          </w:p>
        </w:tc>
      </w:tr>
      <w:tr w:rsidR="00680687" w:rsidRPr="002A677E" w14:paraId="18A77771" w14:textId="77777777" w:rsidTr="006A3ADC">
        <w:tc>
          <w:tcPr>
            <w:tcW w:w="1172" w:type="dxa"/>
          </w:tcPr>
          <w:p w14:paraId="6E4EED3A" w14:textId="77777777" w:rsidR="00680687" w:rsidRPr="002A677E" w:rsidRDefault="00680687" w:rsidP="006A3ADC">
            <w:pPr>
              <w:rPr>
                <w:sz w:val="24"/>
                <w:rFonts w:ascii="Times New Roman" w:hAnsi="Times New Roman"/>
              </w:rPr>
            </w:pPr>
            <w:r>
              <w:rPr>
                <w:sz w:val="24"/>
                <w:rFonts w:ascii="Times New Roman" w:hAnsi="Times New Roman"/>
              </w:rPr>
              <w:t xml:space="preserve">0090</w:t>
            </w:r>
          </w:p>
        </w:tc>
        <w:tc>
          <w:tcPr>
            <w:tcW w:w="7844" w:type="dxa"/>
          </w:tcPr>
          <w:p w14:paraId="64EFAC4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inom grupper</w:t>
            </w:r>
          </w:p>
          <w:p w14:paraId="59B1E4E8" w14:textId="77777777" w:rsidR="00680687" w:rsidRPr="002A677E" w:rsidRDefault="00680687" w:rsidP="006A3ADC">
            <w:pPr>
              <w:rPr>
                <w:sz w:val="24"/>
                <w:rFonts w:ascii="Times New Roman" w:hAnsi="Times New Roman"/>
              </w:rPr>
            </w:pPr>
            <w:r>
              <w:rPr>
                <w:rFonts w:ascii="Times New Roman" w:hAnsi="Times New Roman"/>
              </w:rPr>
              <w:t xml:space="preserve">Marginaleffekt av återintegrering av transaktioner inom grupper enligt definitionen i artikel 382.4 b i förordning (EU) nr 575/2013.</w:t>
            </w:r>
          </w:p>
        </w:tc>
      </w:tr>
      <w:tr w:rsidR="00680687" w:rsidRPr="002A677E" w14:paraId="31EEAE35" w14:textId="77777777" w:rsidTr="006A3ADC">
        <w:tc>
          <w:tcPr>
            <w:tcW w:w="1172" w:type="dxa"/>
          </w:tcPr>
          <w:p w14:paraId="6B9DF7C0" w14:textId="77777777" w:rsidR="00680687" w:rsidRDefault="00680687" w:rsidP="006A3ADC">
            <w:pPr>
              <w:rPr>
                <w:sz w:val="24"/>
                <w:rFonts w:ascii="Times New Roman" w:hAnsi="Times New Roman"/>
              </w:rPr>
            </w:pPr>
            <w:r>
              <w:rPr>
                <w:sz w:val="24"/>
                <w:rFonts w:ascii="Times New Roman" w:hAnsi="Times New Roman"/>
              </w:rPr>
              <w:t xml:space="preserve">0100</w:t>
            </w:r>
          </w:p>
        </w:tc>
        <w:tc>
          <w:tcPr>
            <w:tcW w:w="7844" w:type="dxa"/>
          </w:tcPr>
          <w:p w14:paraId="26366874"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motparter som är pensionsfonder</w:t>
            </w:r>
            <w:r>
              <w:rPr>
                <w:b/>
                <w:sz w:val="24"/>
                <w:u w:val="single"/>
                <w:rFonts w:ascii="Times New Roman" w:hAnsi="Times New Roman"/>
              </w:rPr>
              <w:t xml:space="preserve"> </w:t>
            </w:r>
          </w:p>
          <w:p w14:paraId="1051EC9B" w14:textId="77777777" w:rsidR="00680687" w:rsidRPr="005C4AA2" w:rsidRDefault="00680687" w:rsidP="006A3ADC">
            <w:pPr>
              <w:rPr>
                <w:b/>
                <w:bCs/>
                <w:sz w:val="24"/>
                <w:u w:val="single"/>
                <w:rFonts w:ascii="Times New Roman" w:hAnsi="Times New Roman"/>
              </w:rPr>
            </w:pPr>
            <w:r>
              <w:rPr>
                <w:sz w:val="24"/>
                <w:rFonts w:ascii="Times New Roman" w:hAnsi="Times New Roman"/>
              </w:rPr>
              <w:t xml:space="preserve">Marginaleffekt av återintegrering av transaktioner med motparter som är pensionsfonder, vilka ingås under den övergångsperiod som fastställs i artikel 89.1 i förordning (EU) nr 648/2012 och som är undantagna från kapitalbaskraven för kreditvärdighetsjusteringsrisk i enlighet med artikel 382.4 andra stycket i förordning (EU) nr 575/2013.</w:t>
            </w:r>
            <w:r>
              <w:rPr>
                <w:sz w:val="24"/>
                <w:rFonts w:ascii="Times New Roman" w:hAnsi="Times New Roman"/>
              </w:rPr>
              <w:t xml:space="preserve"> </w:t>
            </w:r>
            <w:r>
              <w:rPr>
                <w:sz w:val="24"/>
                <w:rFonts w:ascii="Times New Roman" w:hAnsi="Times New Roman"/>
              </w:rPr>
              <w:t xml:space="preserve">Transaktioner nämnda i artikel 382.4 c, som inte ingås under den övergångsperiod som fastställs i artikel 89.1 i förordning (EU) nr 648/2012, anses inte vara undantagna transaktioner eftersom övergångsperioden för tillämpning av det undantaget har upphört.</w:t>
            </w:r>
          </w:p>
        </w:tc>
      </w:tr>
      <w:tr w:rsidR="00680687" w:rsidRPr="002A677E" w14:paraId="672E6D90" w14:textId="77777777" w:rsidTr="006A3ADC">
        <w:tc>
          <w:tcPr>
            <w:tcW w:w="1172" w:type="dxa"/>
          </w:tcPr>
          <w:p w14:paraId="2C9DEE10" w14:textId="77777777" w:rsidR="00680687" w:rsidRPr="002A677E" w:rsidRDefault="00680687" w:rsidP="006A3ADC">
            <w:pPr>
              <w:rPr>
                <w:sz w:val="24"/>
                <w:rFonts w:ascii="Times New Roman" w:hAnsi="Times New Roman"/>
              </w:rPr>
            </w:pPr>
            <w:r>
              <w:rPr>
                <w:sz w:val="24"/>
                <w:rFonts w:ascii="Times New Roman" w:hAnsi="Times New Roman"/>
              </w:rPr>
              <w:t xml:space="preserve">0110</w:t>
            </w:r>
          </w:p>
        </w:tc>
        <w:tc>
          <w:tcPr>
            <w:tcW w:w="7844" w:type="dxa"/>
          </w:tcPr>
          <w:p w14:paraId="41C2A83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statliga motparter</w:t>
            </w:r>
          </w:p>
          <w:p w14:paraId="63BD107D" w14:textId="77777777" w:rsidR="00680687" w:rsidRPr="002A677E" w:rsidRDefault="00680687" w:rsidP="006A3ADC">
            <w:pPr>
              <w:rPr>
                <w:sz w:val="24"/>
                <w:rFonts w:ascii="Times New Roman" w:hAnsi="Times New Roman"/>
              </w:rPr>
            </w:pPr>
            <w:r>
              <w:rPr>
                <w:sz w:val="24"/>
                <w:rFonts w:ascii="Times New Roman" w:hAnsi="Times New Roman"/>
              </w:rPr>
              <w:t xml:space="preserve">Marginaleffekt av återintegrering av transaktioner med statliga motparter enligt definitionen i artikel 382.4 d i förordning (EU) nr 575/2013.</w:t>
            </w:r>
          </w:p>
        </w:tc>
      </w:tr>
      <w:tr w:rsidR="00680687" w:rsidRPr="002A677E" w14:paraId="2FAF19E8" w14:textId="77777777" w:rsidTr="006A3ADC">
        <w:tc>
          <w:tcPr>
            <w:tcW w:w="1172" w:type="dxa"/>
          </w:tcPr>
          <w:p w14:paraId="7B2E2B90" w14:textId="77777777" w:rsidR="00680687" w:rsidRPr="002A677E" w:rsidRDefault="00680687" w:rsidP="006A3ADC">
            <w:pPr>
              <w:rPr>
                <w:sz w:val="24"/>
                <w:rFonts w:ascii="Times New Roman" w:hAnsi="Times New Roman"/>
              </w:rPr>
            </w:pPr>
            <w:r>
              <w:rPr>
                <w:sz w:val="24"/>
                <w:rFonts w:ascii="Times New Roman" w:hAnsi="Times New Roman"/>
              </w:rPr>
              <w:t xml:space="preserve">0120</w:t>
            </w:r>
          </w:p>
        </w:tc>
        <w:tc>
          <w:tcPr>
            <w:tcW w:w="7844" w:type="dxa"/>
          </w:tcPr>
          <w:p w14:paraId="354A35FD" w14:textId="77777777" w:rsidR="00680687" w:rsidRPr="00253D86" w:rsidRDefault="00680687" w:rsidP="006A3ADC">
            <w:pPr>
              <w:rPr>
                <w:b/>
                <w:bCs/>
                <w:sz w:val="24"/>
                <w:u w:val="single"/>
                <w:rFonts w:ascii="Times New Roman" w:hAnsi="Times New Roman"/>
              </w:rPr>
            </w:pPr>
            <w:r>
              <w:rPr>
                <w:b/>
                <w:sz w:val="24"/>
                <w:u w:val="single"/>
                <w:rFonts w:ascii="Times New Roman" w:hAnsi="Times New Roman"/>
              </w:rPr>
              <w:t xml:space="preserve">Säkring av kreditvärdighetsjusteringsrisk för undantagna transaktioner som inte omfattas av kreditvärdighetsjusteringen</w:t>
            </w:r>
            <w:r>
              <w:rPr>
                <w:b/>
                <w:sz w:val="24"/>
                <w:u w:val="single"/>
                <w:rFonts w:ascii="Times New Roman" w:hAnsi="Times New Roman"/>
              </w:rPr>
              <w:t xml:space="preserve"> </w:t>
            </w:r>
          </w:p>
          <w:p w14:paraId="7B05FC5B" w14:textId="77777777" w:rsidR="00680687" w:rsidRPr="002A677E" w:rsidRDefault="00680687" w:rsidP="006A3ADC">
            <w:pPr>
              <w:rPr>
                <w:sz w:val="24"/>
                <w:rFonts w:ascii="Times New Roman" w:hAnsi="Times New Roman"/>
              </w:rPr>
            </w:pPr>
            <w:r>
              <w:rPr>
                <w:sz w:val="24"/>
                <w:rFonts w:ascii="Times New Roman" w:hAnsi="Times New Roman"/>
              </w:rPr>
              <w:t xml:space="preserve">Säkring av kreditvärdighetsjusteringsrisk för undantagna transaktioner som inte omfattas av kapitalbaskraven för kreditvärdighetsjusteringsrisker omfattas av kapitalkrav för marknadsrisk.</w:t>
            </w:r>
            <w:r>
              <w:rPr>
                <w:sz w:val="24"/>
                <w:rFonts w:ascii="Times New Roman" w:hAnsi="Times New Roman"/>
              </w:rPr>
              <w:t xml:space="preserve"> </w:t>
            </w:r>
          </w:p>
        </w:tc>
      </w:tr>
      <w:tr w:rsidR="00680687" w:rsidRPr="002A677E" w14:paraId="01CC7562" w14:textId="77777777" w:rsidTr="006A3ADC">
        <w:tc>
          <w:tcPr>
            <w:tcW w:w="1172" w:type="dxa"/>
          </w:tcPr>
          <w:p w14:paraId="6B81B404" w14:textId="77777777" w:rsidR="00680687" w:rsidRPr="002A677E" w:rsidRDefault="00680687" w:rsidP="006A3ADC">
            <w:pPr>
              <w:rPr>
                <w:sz w:val="24"/>
                <w:rFonts w:ascii="Times New Roman" w:hAnsi="Times New Roman"/>
              </w:rPr>
            </w:pPr>
            <w:r>
              <w:rPr>
                <w:sz w:val="24"/>
                <w:rFonts w:ascii="Times New Roman" w:hAnsi="Times New Roman"/>
              </w:rPr>
              <w:t xml:space="preserve">0130</w:t>
            </w:r>
          </w:p>
        </w:tc>
        <w:tc>
          <w:tcPr>
            <w:tcW w:w="7844" w:type="dxa"/>
          </w:tcPr>
          <w:p w14:paraId="69E3FC61" w14:textId="77777777" w:rsidR="00680687" w:rsidRPr="00253D86" w:rsidRDefault="00680687" w:rsidP="006A3ADC">
            <w:pPr>
              <w:rPr>
                <w:b/>
                <w:bCs/>
                <w:sz w:val="24"/>
                <w:u w:val="single"/>
                <w:rFonts w:ascii="Times New Roman" w:hAnsi="Times New Roman"/>
              </w:rPr>
            </w:pPr>
            <w:r>
              <w:rPr>
                <w:b/>
                <w:sz w:val="24"/>
                <w:u w:val="single"/>
                <w:rFonts w:ascii="Times New Roman" w:hAnsi="Times New Roman"/>
              </w:rPr>
              <w:t xml:space="preserve">Summa transaktioner för värdepappersfinansiering som inte clearas centralt och som värderas till verkligt värde för redovisningsändamål, exklusive undantagna transaktioner</w:t>
            </w:r>
            <w:r>
              <w:rPr>
                <w:b/>
                <w:sz w:val="24"/>
                <w:u w:val="single"/>
                <w:rFonts w:ascii="Times New Roman" w:hAnsi="Times New Roman"/>
              </w:rPr>
              <w:t xml:space="preserve"> </w:t>
            </w:r>
          </w:p>
          <w:p w14:paraId="6A560A0D" w14:textId="042E0D75" w:rsidR="00680687" w:rsidRPr="002A677E" w:rsidRDefault="00680687" w:rsidP="006A3ADC">
            <w:pPr>
              <w:rPr>
                <w:sz w:val="24"/>
                <w:rFonts w:ascii="Times New Roman" w:hAnsi="Times New Roman"/>
              </w:rPr>
            </w:pPr>
            <w:r>
              <w:rPr>
                <w:sz w:val="24"/>
                <w:rFonts w:ascii="Times New Roman" w:hAnsi="Times New Roman"/>
              </w:rPr>
              <w:t xml:space="preserve">Transaktioner för värdepappersfinansiering som värderas till verkligt värde för redovisningsändamål och som skulle omfattas av kapitalbaskraven för kreditvärdighetsjusteringsrisk i enlighet med artikel 382.2 i förordning (EU) nr 575/2013, oavsett om de exponeringar mot kreditvärdighetsjusteringsrisk som härrör från dem är väsentliga.</w:t>
            </w:r>
            <w:r>
              <w:rPr>
                <w:sz w:val="24"/>
                <w:rFonts w:ascii="Times New Roman" w:hAnsi="Times New Roman"/>
              </w:rPr>
              <w:t xml:space="preserve"> </w:t>
            </w:r>
            <w:r>
              <w:rPr>
                <w:sz w:val="24"/>
                <w:rFonts w:ascii="Times New Roman" w:hAnsi="Times New Roman"/>
              </w:rPr>
              <w:t xml:space="preserve">Transaktioner för värdepappersfinansiering som är uteslutna från kapitalbaskraven för kreditvärdighetsjusteringsrisk i enlighet med artikel 382.3 och 382.4 i förordning (EU) nr 575/2013 bör inte ingå i beräkningarna, såvida inte institutet skulle inkludera dessa transaktioner i kapitalbaskraven för kreditvärdighetsjusteringsrisk i enlighet med artikel 382.4a i förordning (EU) nr 575/2013.</w:t>
            </w:r>
          </w:p>
        </w:tc>
      </w:tr>
      <w:tr w:rsidR="00680687" w:rsidRPr="002A677E" w14:paraId="51558923" w14:textId="77777777" w:rsidTr="006A3ADC">
        <w:tc>
          <w:tcPr>
            <w:tcW w:w="1172" w:type="dxa"/>
          </w:tcPr>
          <w:p w14:paraId="1BBFF038" w14:textId="77777777" w:rsidR="00680687" w:rsidRPr="002A677E" w:rsidRDefault="00680687" w:rsidP="006A3ADC">
            <w:pPr>
              <w:rPr>
                <w:sz w:val="24"/>
                <w:rFonts w:ascii="Times New Roman" w:hAnsi="Times New Roman"/>
              </w:rPr>
            </w:pPr>
            <w:r>
              <w:rPr>
                <w:sz w:val="24"/>
                <w:rFonts w:ascii="Times New Roman" w:hAnsi="Times New Roman"/>
              </w:rPr>
              <w:t xml:space="preserve">0140–0160</w:t>
            </w:r>
          </w:p>
        </w:tc>
        <w:tc>
          <w:tcPr>
            <w:tcW w:w="7844" w:type="dxa"/>
          </w:tcPr>
          <w:p w14:paraId="2D6F4FFE" w14:textId="77777777" w:rsidR="00680687" w:rsidRPr="005F6CF0" w:rsidRDefault="00680687" w:rsidP="006A3ADC">
            <w:pPr>
              <w:rPr>
                <w:b/>
                <w:bCs/>
                <w:sz w:val="24"/>
                <w:u w:val="single"/>
                <w:rFonts w:ascii="Times New Roman" w:hAnsi="Times New Roman"/>
              </w:rPr>
            </w:pPr>
            <w:r>
              <w:rPr>
                <w:b/>
                <w:sz w:val="24"/>
                <w:u w:val="single"/>
                <w:rFonts w:ascii="Times New Roman" w:hAnsi="Times New Roman"/>
              </w:rPr>
              <w:t xml:space="preserve">Säkring av kreditvärdighetsjusteringsrisk</w:t>
            </w:r>
          </w:p>
          <w:p w14:paraId="225C7DDF" w14:textId="77777777" w:rsidR="00680687" w:rsidRPr="005C217A" w:rsidRDefault="00680687" w:rsidP="006A3ADC">
            <w:pPr>
              <w:rPr>
                <w:b/>
                <w:bCs/>
                <w:caps/>
                <w:sz w:val="24"/>
                <w:u w:val="single"/>
                <w:rFonts w:ascii="Times New Roman" w:hAnsi="Times New Roman"/>
              </w:rPr>
            </w:pPr>
            <w:r>
              <w:rPr>
                <w:sz w:val="24"/>
                <w:rFonts w:ascii="Times New Roman" w:hAnsi="Times New Roman"/>
              </w:rPr>
              <w:t xml:space="preserve">Artikel 386 i förordning (EU) nr 575/2013.</w:t>
            </w:r>
          </w:p>
        </w:tc>
      </w:tr>
      <w:tr w:rsidR="00680687" w:rsidRPr="002A677E" w14:paraId="0F486D81" w14:textId="77777777" w:rsidTr="006A3ADC">
        <w:tc>
          <w:tcPr>
            <w:tcW w:w="1172" w:type="dxa"/>
          </w:tcPr>
          <w:p w14:paraId="597AD53C" w14:textId="77777777" w:rsidR="00680687" w:rsidRPr="002A677E" w:rsidRDefault="00680687" w:rsidP="006A3ADC">
            <w:pPr>
              <w:rPr>
                <w:sz w:val="24"/>
                <w:rFonts w:ascii="Times New Roman" w:hAnsi="Times New Roman"/>
              </w:rPr>
            </w:pPr>
            <w:r>
              <w:rPr>
                <w:sz w:val="24"/>
                <w:rFonts w:ascii="Times New Roman" w:hAnsi="Times New Roman"/>
              </w:rPr>
              <w:t xml:space="preserve">0140</w:t>
            </w:r>
          </w:p>
        </w:tc>
        <w:tc>
          <w:tcPr>
            <w:tcW w:w="7844" w:type="dxa"/>
          </w:tcPr>
          <w:p w14:paraId="5853509D"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Kreditswappar som refererar till ett enda namn</w:t>
            </w:r>
          </w:p>
        </w:tc>
      </w:tr>
      <w:tr w:rsidR="00680687" w:rsidRPr="002A677E" w14:paraId="2EFC56DA" w14:textId="77777777" w:rsidTr="006A3ADC">
        <w:tc>
          <w:tcPr>
            <w:tcW w:w="1172" w:type="dxa"/>
          </w:tcPr>
          <w:p w14:paraId="689DB8DD" w14:textId="77777777" w:rsidR="00680687" w:rsidRPr="002A677E" w:rsidRDefault="00680687" w:rsidP="006A3ADC">
            <w:pPr>
              <w:rPr>
                <w:sz w:val="24"/>
                <w:rFonts w:ascii="Times New Roman" w:hAnsi="Times New Roman"/>
              </w:rPr>
            </w:pPr>
            <w:r>
              <w:rPr>
                <w:sz w:val="24"/>
                <w:rFonts w:ascii="Times New Roman" w:hAnsi="Times New Roman"/>
              </w:rPr>
              <w:t xml:space="preserve">0150</w:t>
            </w:r>
          </w:p>
        </w:tc>
        <w:tc>
          <w:tcPr>
            <w:tcW w:w="7844" w:type="dxa"/>
          </w:tcPr>
          <w:p w14:paraId="05C9EFAC"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Indexerade kreditswappar</w:t>
            </w:r>
          </w:p>
        </w:tc>
      </w:tr>
      <w:tr w:rsidR="00680687" w:rsidRPr="002A677E" w14:paraId="0756472C" w14:textId="77777777" w:rsidTr="006A3ADC">
        <w:tc>
          <w:tcPr>
            <w:tcW w:w="1172" w:type="dxa"/>
          </w:tcPr>
          <w:p w14:paraId="219CB9F8" w14:textId="77777777" w:rsidR="00680687" w:rsidRPr="002A677E" w:rsidRDefault="00680687" w:rsidP="006A3ADC">
            <w:pPr>
              <w:rPr>
                <w:sz w:val="24"/>
                <w:rFonts w:ascii="Times New Roman" w:hAnsi="Times New Roman"/>
              </w:rPr>
            </w:pPr>
            <w:r>
              <w:rPr>
                <w:sz w:val="24"/>
                <w:rFonts w:ascii="Times New Roman" w:hAnsi="Times New Roman"/>
              </w:rPr>
              <w:t xml:space="preserve">0160</w:t>
            </w:r>
          </w:p>
        </w:tc>
        <w:tc>
          <w:tcPr>
            <w:tcW w:w="7844" w:type="dxa"/>
          </w:tcPr>
          <w:p w14:paraId="14973198"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Andra derivat klassificerade som säkring av kreditvärdighetsjusteringsrisk</w:t>
            </w:r>
          </w:p>
        </w:tc>
      </w:tr>
      <w:tr w:rsidR="00680687" w:rsidRPr="002A677E" w14:paraId="3769678C" w14:textId="77777777" w:rsidTr="006A3ADC">
        <w:tc>
          <w:tcPr>
            <w:tcW w:w="1172" w:type="dxa"/>
          </w:tcPr>
          <w:p w14:paraId="13F52A3F" w14:textId="77777777" w:rsidR="00680687" w:rsidRPr="002A677E" w:rsidRDefault="00680687" w:rsidP="006A3ADC">
            <w:pPr>
              <w:rPr>
                <w:sz w:val="24"/>
                <w:rFonts w:ascii="Times New Roman" w:hAnsi="Times New Roman"/>
              </w:rPr>
            </w:pPr>
            <w:r>
              <w:rPr>
                <w:sz w:val="24"/>
                <w:rFonts w:ascii="Times New Roman" w:hAnsi="Times New Roman"/>
              </w:rPr>
              <w:t xml:space="preserve">0170–0220</w:t>
            </w:r>
          </w:p>
        </w:tc>
        <w:tc>
          <w:tcPr>
            <w:tcW w:w="7844" w:type="dxa"/>
          </w:tcPr>
          <w:p w14:paraId="3F625C66" w14:textId="77777777" w:rsidR="00680687" w:rsidRPr="005F6CF0" w:rsidRDefault="00680687" w:rsidP="006A3ADC">
            <w:pPr>
              <w:rPr>
                <w:b/>
                <w:bCs/>
                <w:sz w:val="24"/>
                <w:u w:val="single"/>
                <w:rFonts w:ascii="Times New Roman" w:hAnsi="Times New Roman"/>
              </w:rPr>
            </w:pPr>
            <w:r>
              <w:rPr>
                <w:b/>
                <w:sz w:val="24"/>
                <w:u w:val="single"/>
                <w:rFonts w:ascii="Times New Roman" w:hAnsi="Times New Roman"/>
              </w:rPr>
              <w:t xml:space="preserve">Motpartstyper i transaktioner som omfattas av schablonmetoden för kreditvärdighetsjustering</w:t>
            </w:r>
          </w:p>
          <w:p w14:paraId="3B7F80A8" w14:textId="77777777" w:rsidR="00680687" w:rsidRDefault="00680687" w:rsidP="006A3ADC">
            <w:pPr>
              <w:rPr>
                <w:sz w:val="24"/>
                <w:rFonts w:ascii="Times New Roman" w:hAnsi="Times New Roman"/>
              </w:rPr>
            </w:pPr>
            <w:r>
              <w:rPr>
                <w:sz w:val="24"/>
                <w:rFonts w:ascii="Times New Roman" w:hAnsi="Times New Roman"/>
              </w:rPr>
              <w:t xml:space="preserve">Artikel 445a.1 c i förordning (EU) nr 575/2013.</w:t>
            </w:r>
          </w:p>
          <w:p w14:paraId="25779170" w14:textId="77777777" w:rsidR="00680687" w:rsidRDefault="00680687" w:rsidP="006A3ADC">
            <w:pPr>
              <w:spacing w:before="60"/>
              <w:rPr>
                <w:sz w:val="24"/>
                <w:rFonts w:ascii="Times New Roman" w:hAnsi="Times New Roman"/>
              </w:rPr>
            </w:pPr>
            <w:r>
              <w:rPr>
                <w:sz w:val="24"/>
                <w:rFonts w:ascii="Times New Roman" w:hAnsi="Times New Roman"/>
              </w:rPr>
              <w:t xml:space="preserve">En sektor ska väljas för varje motpart på grundval av följande kategorier av ekonomiska sektorer enligt Finrep (se del 3 i bilaga V till denna genomförandeförordning).</w:t>
            </w:r>
          </w:p>
          <w:p w14:paraId="77133872" w14:textId="77777777" w:rsidR="00680687" w:rsidRPr="002A677E" w:rsidRDefault="00680687" w:rsidP="006A3ADC">
            <w:pPr>
              <w:spacing w:before="60"/>
              <w:rPr>
                <w:sz w:val="24"/>
                <w:rFonts w:ascii="Times New Roman" w:hAnsi="Times New Roman"/>
              </w:rPr>
            </w:pPr>
            <w:r>
              <w:rPr>
                <w:sz w:val="24"/>
                <w:rFonts w:ascii="Times New Roman" w:hAnsi="Times New Roman"/>
              </w:rPr>
              <w:t xml:space="preserve">Antalet motparter per sektor ska rapporteras i kolumn 0130.</w:t>
            </w:r>
          </w:p>
        </w:tc>
      </w:tr>
      <w:tr w:rsidR="00680687" w:rsidRPr="002A677E" w14:paraId="5B81430B" w14:textId="77777777" w:rsidTr="006A3ADC">
        <w:tc>
          <w:tcPr>
            <w:tcW w:w="1172" w:type="dxa"/>
          </w:tcPr>
          <w:p w14:paraId="61B642B2" w14:textId="77777777" w:rsidR="00680687" w:rsidRPr="002A677E" w:rsidRDefault="00680687" w:rsidP="006A3ADC">
            <w:pPr>
              <w:rPr>
                <w:sz w:val="24"/>
                <w:rFonts w:ascii="Times New Roman" w:hAnsi="Times New Roman"/>
              </w:rPr>
            </w:pPr>
            <w:r>
              <w:rPr>
                <w:sz w:val="24"/>
                <w:rFonts w:ascii="Times New Roman" w:hAnsi="Times New Roman"/>
              </w:rPr>
              <w:t xml:space="preserve">0170</w:t>
            </w:r>
          </w:p>
        </w:tc>
        <w:tc>
          <w:tcPr>
            <w:tcW w:w="7844" w:type="dxa"/>
          </w:tcPr>
          <w:p w14:paraId="28298287"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Centralbanker</w:t>
            </w:r>
          </w:p>
        </w:tc>
      </w:tr>
      <w:tr w:rsidR="00680687" w:rsidRPr="002A677E" w14:paraId="3880D5FA" w14:textId="77777777" w:rsidTr="006A3ADC">
        <w:tc>
          <w:tcPr>
            <w:tcW w:w="1172" w:type="dxa"/>
          </w:tcPr>
          <w:p w14:paraId="08F5DA36" w14:textId="77777777" w:rsidR="00680687" w:rsidRPr="002A677E" w:rsidRDefault="00680687" w:rsidP="006A3ADC">
            <w:pPr>
              <w:rPr>
                <w:sz w:val="24"/>
                <w:rFonts w:ascii="Times New Roman" w:hAnsi="Times New Roman"/>
              </w:rPr>
            </w:pPr>
            <w:r>
              <w:rPr>
                <w:sz w:val="24"/>
                <w:rFonts w:ascii="Times New Roman" w:hAnsi="Times New Roman"/>
              </w:rPr>
              <w:t xml:space="preserve">0180</w:t>
            </w:r>
          </w:p>
        </w:tc>
        <w:tc>
          <w:tcPr>
            <w:tcW w:w="7844" w:type="dxa"/>
          </w:tcPr>
          <w:p w14:paraId="5AC0FB98"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Offentlig sektor</w:t>
            </w:r>
          </w:p>
        </w:tc>
      </w:tr>
      <w:tr w:rsidR="00680687" w:rsidRPr="002A677E" w14:paraId="4826C3E9" w14:textId="77777777" w:rsidTr="006A3ADC">
        <w:tc>
          <w:tcPr>
            <w:tcW w:w="1172" w:type="dxa"/>
          </w:tcPr>
          <w:p w14:paraId="419DB6E8" w14:textId="77777777" w:rsidR="00680687" w:rsidRPr="002A677E" w:rsidRDefault="00680687" w:rsidP="006A3ADC">
            <w:pPr>
              <w:rPr>
                <w:sz w:val="24"/>
                <w:rFonts w:ascii="Times New Roman" w:hAnsi="Times New Roman"/>
              </w:rPr>
            </w:pPr>
            <w:r>
              <w:rPr>
                <w:sz w:val="24"/>
                <w:rFonts w:ascii="Times New Roman" w:hAnsi="Times New Roman"/>
              </w:rPr>
              <w:t xml:space="preserve">0190</w:t>
            </w:r>
          </w:p>
        </w:tc>
        <w:tc>
          <w:tcPr>
            <w:tcW w:w="7844" w:type="dxa"/>
          </w:tcPr>
          <w:p w14:paraId="5A7EA903"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Kreditinstitut</w:t>
            </w:r>
          </w:p>
        </w:tc>
      </w:tr>
      <w:tr w:rsidR="00680687" w:rsidRPr="002A677E" w14:paraId="60A5D5E9" w14:textId="77777777" w:rsidTr="006A3ADC">
        <w:tc>
          <w:tcPr>
            <w:tcW w:w="1172" w:type="dxa"/>
          </w:tcPr>
          <w:p w14:paraId="1236AA19" w14:textId="77777777" w:rsidR="00680687" w:rsidRPr="002A677E" w:rsidRDefault="00680687" w:rsidP="006A3ADC">
            <w:pPr>
              <w:rPr>
                <w:sz w:val="24"/>
                <w:rFonts w:ascii="Times New Roman" w:hAnsi="Times New Roman"/>
              </w:rPr>
            </w:pPr>
            <w:r>
              <w:rPr>
                <w:sz w:val="24"/>
                <w:rFonts w:ascii="Times New Roman" w:hAnsi="Times New Roman"/>
              </w:rPr>
              <w:t xml:space="preserve">0200</w:t>
            </w:r>
          </w:p>
        </w:tc>
        <w:tc>
          <w:tcPr>
            <w:tcW w:w="7844" w:type="dxa"/>
          </w:tcPr>
          <w:p w14:paraId="56283C80"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Värdepappersföretag</w:t>
            </w:r>
          </w:p>
        </w:tc>
      </w:tr>
      <w:tr w:rsidR="00680687" w:rsidRPr="002A677E" w14:paraId="2445ED8F" w14:textId="77777777" w:rsidTr="006A3ADC">
        <w:tc>
          <w:tcPr>
            <w:tcW w:w="1172" w:type="dxa"/>
          </w:tcPr>
          <w:p w14:paraId="550C3C8F" w14:textId="77777777" w:rsidR="00680687" w:rsidRPr="002A677E" w:rsidRDefault="00680687" w:rsidP="006A3ADC">
            <w:pPr>
              <w:rPr>
                <w:sz w:val="24"/>
                <w:rFonts w:ascii="Times New Roman" w:hAnsi="Times New Roman"/>
              </w:rPr>
            </w:pPr>
            <w:r>
              <w:rPr>
                <w:sz w:val="24"/>
                <w:rFonts w:ascii="Times New Roman" w:hAnsi="Times New Roman"/>
              </w:rPr>
              <w:t xml:space="preserve">0210</w:t>
            </w:r>
          </w:p>
        </w:tc>
        <w:tc>
          <w:tcPr>
            <w:tcW w:w="7844" w:type="dxa"/>
          </w:tcPr>
          <w:p w14:paraId="517C2FE3"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Övriga finansiella företag (exklusive värdepappersföretag)</w:t>
            </w:r>
          </w:p>
        </w:tc>
      </w:tr>
      <w:tr w:rsidR="00680687" w:rsidRPr="002A677E" w14:paraId="167237FD" w14:textId="77777777" w:rsidTr="006A3ADC">
        <w:tc>
          <w:tcPr>
            <w:tcW w:w="1172" w:type="dxa"/>
          </w:tcPr>
          <w:p w14:paraId="29B7557A" w14:textId="77777777" w:rsidR="00680687" w:rsidRPr="002A677E" w:rsidRDefault="00680687" w:rsidP="006A3ADC">
            <w:pPr>
              <w:rPr>
                <w:sz w:val="24"/>
                <w:rFonts w:ascii="Times New Roman" w:hAnsi="Times New Roman"/>
              </w:rPr>
            </w:pPr>
            <w:r>
              <w:rPr>
                <w:sz w:val="24"/>
                <w:rFonts w:ascii="Times New Roman" w:hAnsi="Times New Roman"/>
              </w:rPr>
              <w:t xml:space="preserve">0220</w:t>
            </w:r>
          </w:p>
        </w:tc>
        <w:tc>
          <w:tcPr>
            <w:tcW w:w="7844" w:type="dxa"/>
          </w:tcPr>
          <w:p w14:paraId="7956EA94"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Icke-finansiella företag</w:t>
            </w:r>
          </w:p>
        </w:tc>
      </w:tr>
      <w:tr w:rsidR="00680687" w:rsidRPr="002A677E" w14:paraId="6BACE521" w14:textId="77777777" w:rsidTr="006A3ADC">
        <w:tc>
          <w:tcPr>
            <w:tcW w:w="1172" w:type="dxa"/>
          </w:tcPr>
          <w:p w14:paraId="36DAA114" w14:textId="77777777" w:rsidR="00680687" w:rsidRDefault="00680687" w:rsidP="006A3ADC">
            <w:pPr>
              <w:rPr>
                <w:sz w:val="24"/>
                <w:rFonts w:ascii="Times New Roman" w:hAnsi="Times New Roman"/>
              </w:rPr>
            </w:pPr>
            <w:r>
              <w:rPr>
                <w:sz w:val="24"/>
                <w:rFonts w:ascii="Times New Roman" w:hAnsi="Times New Roman"/>
              </w:rPr>
              <w:t xml:space="preserve">0230</w:t>
            </w:r>
          </w:p>
        </w:tc>
        <w:tc>
          <w:tcPr>
            <w:tcW w:w="7844" w:type="dxa"/>
          </w:tcPr>
          <w:p w14:paraId="7C6250A2"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Aggregering av systematiska delar av kreditvärdighetsjusteringsrisk</w:t>
            </w:r>
          </w:p>
          <w:p w14:paraId="62BC44EB" w14:textId="77777777" w:rsidR="00680687" w:rsidRPr="009766CF" w:rsidRDefault="00680687" w:rsidP="006A3ADC">
            <w:pPr>
              <w:rPr>
                <w:sz w:val="24"/>
                <w:rFonts w:ascii="Times New Roman" w:hAnsi="Times New Roman"/>
              </w:rPr>
            </w:pPr>
            <w:r>
              <w:rPr>
                <w:sz w:val="24"/>
                <w:rFonts w:ascii="Times New Roman" w:hAnsi="Times New Roman"/>
              </w:rPr>
              <w:t xml:space="preserve">Artikel 384.3 i förordning (EU) nr 575/2013.</w:t>
            </w:r>
            <w:r>
              <w:rPr>
                <w:sz w:val="24"/>
                <w:rFonts w:ascii="Times New Roman" w:hAnsi="Times New Roman"/>
              </w:rPr>
              <w:t xml:space="preserve"> </w:t>
            </w:r>
            <w:r>
              <w:rPr>
                <w:sz w:val="24"/>
                <w:rFonts w:ascii="Times New Roman" w:hAnsi="Times New Roman"/>
              </w:rPr>
              <w:t xml:space="preserve">Kapitalbaskrav vid antagande om fullständig korrelering (</w:t>
            </w:r>
            <w:r>
              <w:rPr>
                <w:sz w:val="24"/>
                <w:rFonts w:ascii="Times New Roman" w:hAnsi="Times New Roman"/>
              </w:rPr>
              <w:sym w:font="Symbol" w:char="F053"/>
            </w:r>
            <w:r>
              <w:rPr>
                <w:sz w:val="24"/>
                <w:vertAlign w:val="subscript"/>
                <w:rFonts w:ascii="Times New Roman" w:hAnsi="Times New Roman"/>
              </w:rPr>
              <w:t xml:space="preserve">c</w:t>
            </w:r>
            <w:r>
              <w:rPr>
                <w:sz w:val="24"/>
                <w:rFonts w:ascii="Times New Roman" w:hAnsi="Times New Roman"/>
              </w:rPr>
              <w:t xml:space="preserve">SCVA</w:t>
            </w:r>
            <w:r>
              <w:rPr>
                <w:sz w:val="24"/>
                <w:vertAlign w:val="subscript"/>
                <w:rFonts w:ascii="Times New Roman" w:hAnsi="Times New Roman"/>
              </w:rPr>
              <w:t xml:space="preserve">c).</w:t>
            </w:r>
            <w:r>
              <w:rPr>
                <w:sz w:val="24"/>
                <w:vertAlign w:val="subscript"/>
                <w:rFonts w:ascii="Times New Roman" w:hAnsi="Times New Roman"/>
              </w:rPr>
              <w:t xml:space="preserve">  </w:t>
            </w:r>
            <w:r>
              <w:rPr>
                <w:sz w:val="24"/>
                <w:rFonts w:ascii="Times New Roman" w:hAnsi="Times New Roman"/>
              </w:rPr>
              <w:t xml:space="preserve">Diskonteringsfaktorn 0,65 ska inte tillämpas.</w:t>
            </w:r>
          </w:p>
        </w:tc>
      </w:tr>
      <w:tr w:rsidR="00680687" w:rsidRPr="002A677E" w14:paraId="65206CF9" w14:textId="77777777" w:rsidTr="006A3ADC">
        <w:tc>
          <w:tcPr>
            <w:tcW w:w="1172" w:type="dxa"/>
          </w:tcPr>
          <w:p w14:paraId="62DF0332" w14:textId="77777777" w:rsidR="00680687" w:rsidRDefault="00680687" w:rsidP="006A3ADC">
            <w:pPr>
              <w:rPr>
                <w:sz w:val="24"/>
                <w:rFonts w:ascii="Times New Roman" w:hAnsi="Times New Roman"/>
              </w:rPr>
            </w:pPr>
            <w:r>
              <w:rPr>
                <w:sz w:val="24"/>
                <w:rFonts w:ascii="Times New Roman" w:hAnsi="Times New Roman"/>
              </w:rPr>
              <w:t xml:space="preserve">0240</w:t>
            </w:r>
          </w:p>
        </w:tc>
        <w:tc>
          <w:tcPr>
            <w:tcW w:w="7844" w:type="dxa"/>
          </w:tcPr>
          <w:p w14:paraId="208A77B2"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Aggregering av bolagsspecifika delar av kreditvärdighetsjusteringsrisk</w:t>
            </w:r>
          </w:p>
          <w:p w14:paraId="7B1EBC08" w14:textId="77777777" w:rsidR="00680687" w:rsidRPr="009766CF" w:rsidRDefault="00680687" w:rsidP="006A3ADC">
            <w:pPr>
              <w:rPr>
                <w:sz w:val="24"/>
                <w:rFonts w:ascii="Times New Roman" w:hAnsi="Times New Roman"/>
              </w:rPr>
            </w:pPr>
            <w:r>
              <w:rPr>
                <w:sz w:val="24"/>
                <w:rFonts w:ascii="Times New Roman" w:hAnsi="Times New Roman"/>
              </w:rPr>
              <w:t xml:space="preserve">Artikel 384.3 i förordning (EU) nr 575/2013.</w:t>
            </w:r>
            <w:r>
              <w:rPr>
                <w:sz w:val="24"/>
                <w:rFonts w:ascii="Times New Roman" w:hAnsi="Times New Roman"/>
              </w:rPr>
              <w:t xml:space="preserve"> </w:t>
            </w:r>
            <w:r>
              <w:rPr>
                <w:sz w:val="24"/>
                <w:rFonts w:ascii="Times New Roman" w:hAnsi="Times New Roman"/>
              </w:rPr>
              <w:t xml:space="preserve">Kapitalbaskrav vid antagande om noll-korrelering (sqrt(</w:t>
            </w:r>
            <w:r>
              <w:rPr>
                <w:sz w:val="24"/>
                <w:rFonts w:ascii="Times New Roman" w:hAnsi="Times New Roman"/>
              </w:rPr>
              <w:sym w:font="Symbol" w:char="F053"/>
            </w:r>
            <w:r>
              <w:rPr>
                <w:sz w:val="24"/>
                <w:vertAlign w:val="subscript"/>
                <w:rFonts w:ascii="Times New Roman" w:hAnsi="Times New Roman"/>
              </w:rPr>
              <w:t xml:space="preserve">c</w:t>
            </w:r>
            <w:r>
              <w:rPr>
                <w:sz w:val="24"/>
                <w:rFonts w:ascii="Times New Roman" w:hAnsi="Times New Roman"/>
              </w:rPr>
              <w:t xml:space="preserve">SCVA</w:t>
            </w:r>
            <w:r>
              <w:rPr>
                <w:sz w:val="24"/>
                <w:vertAlign w:val="subscript"/>
                <w:rFonts w:ascii="Times New Roman" w:hAnsi="Times New Roman"/>
              </w:rPr>
              <w:t xml:space="preserve">c</w:t>
            </w:r>
            <w:r>
              <w:rPr>
                <w:sz w:val="24"/>
                <w:vertAlign w:val="superscript"/>
                <w:rFonts w:ascii="Times New Roman" w:hAnsi="Times New Roman"/>
              </w:rPr>
              <w:t xml:space="preserve">2</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Diskonteringsfaktorn 0,65 ska inte tillämpas.</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78523" w14:textId="7211D844" w:rsidR="007341EC" w:rsidRDefault="007341EC">
    <w:pPr>
      <w:pStyle w:val="Header"/>
    </w:pPr>
    <w: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F28F" w14:textId="700CE3C5" w:rsidR="007341EC" w:rsidRDefault="007341EC">
    <w:pPr>
      <w:pStyle w:val="Header"/>
    </w:pPr>
    <w: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00BF" w14:textId="2532D275" w:rsidR="007341EC" w:rsidRDefault="007341EC">
    <w:pPr>
      <w:pStyle w:val="Header"/>
    </w:pPr>
    <w: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val="sv-SE"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2.xml><?xml version="1.0" encoding="utf-8"?>
<ds:datastoreItem xmlns:ds="http://schemas.openxmlformats.org/officeDocument/2006/customXml" ds:itemID="{3486251F-CE6F-4642-8147-CA6B289A6941}"/>
</file>

<file path=customXml/itemProps3.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